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45D882">
      <w:pPr>
        <w:spacing w:line="220" w:lineRule="atLeast"/>
        <w:jc w:val="center"/>
        <w:rPr>
          <w:rFonts w:hint="eastAsia" w:ascii="微软雅黑" w:hAnsi="微软雅黑"/>
          <w:b/>
          <w:bCs/>
          <w:sz w:val="32"/>
          <w:szCs w:val="32"/>
        </w:rPr>
      </w:pPr>
      <w:r>
        <w:rPr>
          <w:rFonts w:ascii="微软雅黑" w:hAnsi="微软雅黑"/>
          <w:b/>
          <w:bCs/>
          <w:sz w:val="32"/>
          <w:szCs w:val="32"/>
        </w:rPr>
        <w:t>江门市中心医院医用直线加速器使用范围及配置要求</w:t>
      </w:r>
    </w:p>
    <w:p w14:paraId="3B8FC5F3">
      <w:pPr>
        <w:spacing w:before="240" w:beforeLines="100" w:line="360" w:lineRule="auto"/>
        <w:jc w:val="both"/>
        <w:rPr>
          <w:rFonts w:hint="eastAsia" w:ascii="微软雅黑" w:hAnsi="微软雅黑"/>
          <w:b/>
          <w:bCs/>
          <w:sz w:val="28"/>
          <w:szCs w:val="28"/>
        </w:rPr>
      </w:pPr>
      <w:r>
        <w:rPr>
          <w:rFonts w:hint="eastAsia" w:ascii="微软雅黑" w:hAnsi="微软雅黑"/>
          <w:b/>
          <w:bCs/>
          <w:sz w:val="28"/>
          <w:szCs w:val="28"/>
        </w:rPr>
        <w:t>一、</w:t>
      </w:r>
      <w:r>
        <w:rPr>
          <w:rFonts w:ascii="微软雅黑" w:hAnsi="微软雅黑"/>
          <w:b/>
          <w:bCs/>
          <w:sz w:val="28"/>
          <w:szCs w:val="28"/>
        </w:rPr>
        <w:t>使用范围</w:t>
      </w:r>
      <w:r>
        <w:rPr>
          <w:rFonts w:hint="eastAsia" w:ascii="微软雅黑" w:hAnsi="微软雅黑"/>
          <w:b/>
          <w:bCs/>
          <w:sz w:val="28"/>
          <w:szCs w:val="28"/>
        </w:rPr>
        <w:t>与功能描述</w:t>
      </w:r>
      <w:r>
        <w:rPr>
          <w:rFonts w:ascii="微软雅黑" w:hAnsi="微软雅黑"/>
          <w:b/>
          <w:bCs/>
          <w:sz w:val="28"/>
          <w:szCs w:val="28"/>
        </w:rPr>
        <w:t>：</w:t>
      </w:r>
      <w:bookmarkStart w:id="0" w:name="_GoBack"/>
      <w:bookmarkEnd w:id="0"/>
    </w:p>
    <w:p w14:paraId="15A9C323">
      <w:pPr>
        <w:spacing w:line="360" w:lineRule="auto"/>
        <w:ind w:firstLine="560" w:firstLineChars="200"/>
        <w:jc w:val="both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用于开展当今主流常规及高精度放射治疗技术，如二维适形放疗</w:t>
      </w:r>
      <w:r>
        <w:rPr>
          <w:rFonts w:ascii="Times New Roman" w:hAnsi="Times New Roman" w:cs="Times New Roman" w:eastAsiaTheme="minorEastAsia"/>
          <w:sz w:val="28"/>
          <w:szCs w:val="28"/>
        </w:rPr>
        <w:t>（CRT）</w:t>
      </w:r>
      <w:r>
        <w:rPr>
          <w:rFonts w:hint="eastAsia" w:asciiTheme="minorEastAsia" w:hAnsiTheme="minorEastAsia" w:eastAsiaTheme="minorEastAsia"/>
          <w:sz w:val="28"/>
          <w:szCs w:val="28"/>
        </w:rPr>
        <w:t>、三维适形放射治疗</w:t>
      </w:r>
      <w:r>
        <w:rPr>
          <w:rFonts w:ascii="Times New Roman" w:hAnsi="Times New Roman" w:cs="Times New Roman" w:eastAsiaTheme="minorEastAsia"/>
          <w:sz w:val="28"/>
          <w:szCs w:val="28"/>
        </w:rPr>
        <w:t>（3D-CRT）</w:t>
      </w:r>
      <w:r>
        <w:rPr>
          <w:rFonts w:hint="eastAsia" w:asciiTheme="minorEastAsia" w:hAnsiTheme="minorEastAsia" w:eastAsiaTheme="minorEastAsia"/>
          <w:sz w:val="28"/>
          <w:szCs w:val="28"/>
        </w:rPr>
        <w:t>、适形调强放射治疗</w:t>
      </w:r>
      <w:r>
        <w:rPr>
          <w:rFonts w:ascii="Times New Roman" w:hAnsi="Times New Roman" w:cs="Times New Roman" w:eastAsiaTheme="minorEastAsia"/>
          <w:sz w:val="28"/>
          <w:szCs w:val="28"/>
        </w:rPr>
        <w:t>（IMRT）</w:t>
      </w:r>
      <w:r>
        <w:rPr>
          <w:rFonts w:asciiTheme="minorEastAsia" w:hAnsiTheme="minorEastAsia" w:eastAsiaTheme="minorEastAsia"/>
          <w:sz w:val="28"/>
          <w:szCs w:val="28"/>
        </w:rPr>
        <w:t>、</w:t>
      </w:r>
      <w:r>
        <w:rPr>
          <w:rFonts w:hint="eastAsia" w:asciiTheme="minorEastAsia" w:hAnsiTheme="minorEastAsia" w:eastAsiaTheme="minorEastAsia"/>
          <w:sz w:val="28"/>
          <w:szCs w:val="28"/>
        </w:rPr>
        <w:t>容积调强放射治疗</w:t>
      </w:r>
      <w:r>
        <w:rPr>
          <w:rFonts w:ascii="Times New Roman" w:hAnsi="Times New Roman" w:cs="Times New Roman" w:eastAsiaTheme="minorEastAsia"/>
          <w:sz w:val="28"/>
          <w:szCs w:val="28"/>
        </w:rPr>
        <w:t>（VMAT）</w:t>
      </w:r>
      <w:r>
        <w:rPr>
          <w:rFonts w:hint="eastAsia" w:asciiTheme="minorEastAsia" w:hAnsiTheme="minorEastAsia" w:eastAsiaTheme="minorEastAsia"/>
          <w:sz w:val="28"/>
          <w:szCs w:val="28"/>
        </w:rPr>
        <w:t>、立体定向放射外科</w:t>
      </w:r>
      <w:r>
        <w:rPr>
          <w:rFonts w:ascii="Times New Roman" w:hAnsi="Times New Roman" w:cs="Times New Roman" w:eastAsiaTheme="minorEastAsia"/>
          <w:sz w:val="28"/>
          <w:szCs w:val="28"/>
        </w:rPr>
        <w:t>（SRS）</w:t>
      </w:r>
      <w:r>
        <w:rPr>
          <w:rFonts w:hint="eastAsia" w:asciiTheme="minorEastAsia" w:hAnsiTheme="minorEastAsia" w:eastAsiaTheme="minorEastAsia"/>
          <w:sz w:val="28"/>
          <w:szCs w:val="28"/>
        </w:rPr>
        <w:t>、立体定向放射治疗</w:t>
      </w:r>
      <w:r>
        <w:rPr>
          <w:rFonts w:ascii="Times New Roman" w:hAnsi="Times New Roman" w:cs="Times New Roman" w:eastAsiaTheme="minorEastAsia"/>
          <w:sz w:val="28"/>
          <w:szCs w:val="28"/>
        </w:rPr>
        <w:t>（SBRT）</w:t>
      </w:r>
      <w:r>
        <w:rPr>
          <w:rFonts w:hint="eastAsia" w:asciiTheme="minorEastAsia" w:hAnsiTheme="minorEastAsia" w:eastAsiaTheme="minorEastAsia"/>
          <w:sz w:val="28"/>
          <w:szCs w:val="28"/>
        </w:rPr>
        <w:t>、图像引导放射治疗</w:t>
      </w:r>
      <w:r>
        <w:rPr>
          <w:rFonts w:ascii="Times New Roman" w:hAnsi="Times New Roman" w:cs="Times New Roman" w:eastAsiaTheme="minorEastAsia"/>
          <w:sz w:val="28"/>
          <w:szCs w:val="28"/>
        </w:rPr>
        <w:t>（IGRT）</w:t>
      </w:r>
      <w:r>
        <w:rPr>
          <w:rFonts w:hint="eastAsia" w:asciiTheme="minorEastAsia" w:hAnsiTheme="minorEastAsia" w:eastAsiaTheme="minorEastAsia"/>
          <w:sz w:val="28"/>
          <w:szCs w:val="28"/>
        </w:rPr>
        <w:t>等。具备运动管理功能，可用于门控治疗。除用于常规共面照射外，治疗床应能等中心旋转≥±90度，以便开展非共面照射技术，满足临床使用需求。</w:t>
      </w:r>
    </w:p>
    <w:p w14:paraId="2CAFD09C">
      <w:pPr>
        <w:spacing w:line="360" w:lineRule="auto"/>
        <w:ind w:firstLine="560" w:firstLineChars="200"/>
        <w:jc w:val="both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除用于上述</w:t>
      </w:r>
      <w:r>
        <w:rPr>
          <w:rFonts w:ascii="Times New Roman" w:hAnsi="Times New Roman" w:cs="Times New Roman" w:eastAsiaTheme="minorEastAsia"/>
          <w:sz w:val="28"/>
          <w:szCs w:val="28"/>
        </w:rPr>
        <w:t>X</w:t>
      </w:r>
      <w:r>
        <w:rPr>
          <w:rFonts w:hint="eastAsia" w:asciiTheme="minorEastAsia" w:hAnsiTheme="minorEastAsia" w:eastAsiaTheme="minorEastAsia"/>
          <w:sz w:val="28"/>
          <w:szCs w:val="28"/>
        </w:rPr>
        <w:t>线治疗外，还能开展不少于</w:t>
      </w:r>
      <w:r>
        <w:rPr>
          <w:rFonts w:ascii="Times New Roman" w:hAnsi="Times New Roman" w:cs="Times New Roman" w:eastAsiaTheme="minorEastAsia"/>
          <w:sz w:val="28"/>
          <w:szCs w:val="28"/>
        </w:rPr>
        <w:t>3</w:t>
      </w:r>
      <w:r>
        <w:rPr>
          <w:rFonts w:hint="eastAsia" w:asciiTheme="minorEastAsia" w:hAnsiTheme="minorEastAsia" w:eastAsiaTheme="minorEastAsia"/>
          <w:sz w:val="28"/>
          <w:szCs w:val="28"/>
        </w:rPr>
        <w:t>档电子线治疗，以满足浅表照射需要。</w:t>
      </w:r>
    </w:p>
    <w:p w14:paraId="6FE2C1AB">
      <w:pPr>
        <w:spacing w:line="360" w:lineRule="auto"/>
        <w:ind w:firstLine="560" w:firstLineChars="200"/>
        <w:jc w:val="both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直线加速器及其配套系统包含确保其正常运行的所有软硬件，包括但不限于医用电子直线加速器主机、原机自带匹配原厂放射治疗计划系统</w:t>
      </w:r>
      <w:r>
        <w:rPr>
          <w:rFonts w:ascii="Times New Roman" w:hAnsi="Times New Roman" w:cs="Times New Roman" w:eastAsiaTheme="minorEastAsia"/>
          <w:sz w:val="28"/>
          <w:szCs w:val="28"/>
        </w:rPr>
        <w:t>（TPS）、KV-CBCT、EPID、</w:t>
      </w:r>
      <w:r>
        <w:rPr>
          <w:rFonts w:hint="eastAsia" w:asciiTheme="minorEastAsia" w:hAnsiTheme="minorEastAsia" w:eastAsiaTheme="minorEastAsia"/>
          <w:sz w:val="28"/>
          <w:szCs w:val="28"/>
        </w:rPr>
        <w:t>内置自动化在线质控系统、医生工作站、物理师工作站、直线加速器日常质控设备及模体、呼吸门控系统、原厂六维治疗床（自动摆位）、立体定向放疗固定床板等。</w:t>
      </w:r>
    </w:p>
    <w:p w14:paraId="692CA485">
      <w:pPr>
        <w:spacing w:line="220" w:lineRule="atLeast"/>
        <w:jc w:val="both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二、配置要求</w:t>
      </w:r>
      <w:r>
        <w:rPr>
          <w:rFonts w:hint="eastAsia"/>
          <w:sz w:val="28"/>
          <w:szCs w:val="28"/>
        </w:rPr>
        <w:t>：以下各配置要求均需要严格符合行内标准，具备的治疗技术应在其NMPA注册证适用范围之内明确注明</w:t>
      </w:r>
    </w:p>
    <w:tbl>
      <w:tblPr>
        <w:tblStyle w:val="5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7796"/>
      </w:tblGrid>
      <w:tr w14:paraId="03B31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817" w:type="dxa"/>
            <w:vAlign w:val="center"/>
          </w:tcPr>
          <w:p w14:paraId="70B075A1">
            <w:pPr>
              <w:spacing w:after="0" w:line="360" w:lineRule="auto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序号</w:t>
            </w:r>
          </w:p>
        </w:tc>
        <w:tc>
          <w:tcPr>
            <w:tcW w:w="7796" w:type="dxa"/>
            <w:vAlign w:val="center"/>
          </w:tcPr>
          <w:p w14:paraId="3C9D903C">
            <w:pPr>
              <w:spacing w:after="0" w:line="360" w:lineRule="auto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配置要求</w:t>
            </w:r>
          </w:p>
        </w:tc>
      </w:tr>
      <w:tr w14:paraId="2DE82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817" w:type="dxa"/>
            <w:vAlign w:val="center"/>
          </w:tcPr>
          <w:p w14:paraId="07F68D11">
            <w:pPr>
              <w:spacing w:after="0" w:line="360" w:lineRule="auto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1</w:t>
            </w:r>
          </w:p>
        </w:tc>
        <w:tc>
          <w:tcPr>
            <w:tcW w:w="7796" w:type="dxa"/>
            <w:vAlign w:val="center"/>
          </w:tcPr>
          <w:p w14:paraId="188E8099">
            <w:pPr>
              <w:spacing w:after="0" w:line="360" w:lineRule="auto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数字化医用直线加速器主机1套</w:t>
            </w:r>
          </w:p>
        </w:tc>
      </w:tr>
      <w:tr w14:paraId="4E292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817" w:type="dxa"/>
            <w:vAlign w:val="center"/>
          </w:tcPr>
          <w:p w14:paraId="3D856B68">
            <w:pPr>
              <w:spacing w:after="0" w:line="360" w:lineRule="auto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</w:t>
            </w:r>
          </w:p>
        </w:tc>
        <w:tc>
          <w:tcPr>
            <w:tcW w:w="7796" w:type="dxa"/>
            <w:vAlign w:val="center"/>
          </w:tcPr>
          <w:p w14:paraId="4276445B">
            <w:pPr>
              <w:spacing w:after="0" w:line="360" w:lineRule="auto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自动摆位六维治疗床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套</w:t>
            </w:r>
          </w:p>
        </w:tc>
      </w:tr>
      <w:tr w14:paraId="7BD93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817" w:type="dxa"/>
            <w:vAlign w:val="center"/>
          </w:tcPr>
          <w:p w14:paraId="1CB5FFB2">
            <w:pPr>
              <w:spacing w:after="0" w:line="360" w:lineRule="auto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3</w:t>
            </w:r>
          </w:p>
        </w:tc>
        <w:tc>
          <w:tcPr>
            <w:tcW w:w="7796" w:type="dxa"/>
            <w:vAlign w:val="center"/>
          </w:tcPr>
          <w:p w14:paraId="0D1F10EE">
            <w:pPr>
              <w:spacing w:after="0" w:line="360" w:lineRule="auto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配备常规及高精度放射外科的专用床板</w:t>
            </w:r>
          </w:p>
        </w:tc>
      </w:tr>
      <w:tr w14:paraId="6B070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817" w:type="dxa"/>
            <w:vAlign w:val="center"/>
          </w:tcPr>
          <w:p w14:paraId="56F7B405">
            <w:pPr>
              <w:spacing w:after="0" w:line="360" w:lineRule="auto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5</w:t>
            </w:r>
          </w:p>
        </w:tc>
        <w:tc>
          <w:tcPr>
            <w:tcW w:w="7796" w:type="dxa"/>
            <w:vAlign w:val="center"/>
          </w:tcPr>
          <w:p w14:paraId="77C210AF">
            <w:pPr>
              <w:spacing w:after="0" w:line="360" w:lineRule="auto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具备非共面照射功能</w:t>
            </w:r>
          </w:p>
        </w:tc>
      </w:tr>
      <w:tr w14:paraId="4F5B8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817" w:type="dxa"/>
            <w:vAlign w:val="center"/>
          </w:tcPr>
          <w:p w14:paraId="079ECE03">
            <w:pPr>
              <w:spacing w:after="0" w:line="360" w:lineRule="auto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6</w:t>
            </w:r>
          </w:p>
        </w:tc>
        <w:tc>
          <w:tcPr>
            <w:tcW w:w="7796" w:type="dxa"/>
            <w:vAlign w:val="center"/>
          </w:tcPr>
          <w:p w14:paraId="72520375">
            <w:pPr>
              <w:spacing w:after="0" w:line="360" w:lineRule="auto"/>
              <w:rPr>
                <w:rFonts w:hint="eastAsia" w:asciiTheme="minorEastAsia" w:hAnsiTheme="minorEastAsia" w:eastAsia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8"/>
                <w:szCs w:val="28"/>
              </w:rPr>
              <w:t>常规均整（FF）的</w:t>
            </w:r>
            <w:r>
              <w:rPr>
                <w:rFonts w:ascii="Times New Roman" w:hAnsi="Times New Roman" w:cs="Times New Roman" w:eastAsiaTheme="minorEastAsia"/>
                <w:color w:val="auto"/>
                <w:sz w:val="28"/>
                <w:szCs w:val="28"/>
              </w:rPr>
              <w:t>X</w:t>
            </w:r>
            <w:r>
              <w:rPr>
                <w:rFonts w:hint="eastAsia" w:asciiTheme="minorEastAsia" w:hAnsiTheme="minorEastAsia" w:eastAsiaTheme="minorEastAsia"/>
                <w:color w:val="auto"/>
                <w:sz w:val="28"/>
                <w:szCs w:val="28"/>
              </w:rPr>
              <w:t>射线能量</w:t>
            </w:r>
            <w:r>
              <w:rPr>
                <w:rFonts w:cs="Tahoma" w:eastAsiaTheme="minorEastAsia"/>
                <w:color w:val="auto"/>
                <w:sz w:val="28"/>
                <w:szCs w:val="28"/>
              </w:rPr>
              <w:t>≥</w:t>
            </w:r>
            <w:r>
              <w:rPr>
                <w:rFonts w:ascii="Times New Roman" w:hAnsi="Times New Roman" w:cs="Times New Roman" w:eastAsiaTheme="minorEastAsia"/>
                <w:color w:val="auto"/>
                <w:sz w:val="28"/>
                <w:szCs w:val="28"/>
              </w:rPr>
              <w:t>6MV</w:t>
            </w:r>
            <w:r>
              <w:rPr>
                <w:rFonts w:hint="eastAsia" w:ascii="Times New Roman" w:hAnsi="Times New Roman" w:cs="Times New Roman" w:eastAsiaTheme="minorEastAsia"/>
                <w:color w:val="auto"/>
                <w:sz w:val="28"/>
                <w:szCs w:val="28"/>
              </w:rPr>
              <w:t>（能量可选择，确保满足临床需求）</w:t>
            </w:r>
          </w:p>
        </w:tc>
      </w:tr>
      <w:tr w14:paraId="22DC1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817" w:type="dxa"/>
            <w:vAlign w:val="center"/>
          </w:tcPr>
          <w:p w14:paraId="0627F5D1">
            <w:pPr>
              <w:spacing w:after="0" w:line="360" w:lineRule="auto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</w:p>
        </w:tc>
        <w:tc>
          <w:tcPr>
            <w:tcW w:w="7796" w:type="dxa"/>
            <w:vAlign w:val="center"/>
          </w:tcPr>
          <w:p w14:paraId="460E04D4">
            <w:pPr>
              <w:spacing w:after="0" w:line="360" w:lineRule="auto"/>
              <w:rPr>
                <w:rFonts w:hint="eastAsia" w:asciiTheme="minorEastAsia" w:hAnsiTheme="minorEastAsia" w:eastAsia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8"/>
                <w:szCs w:val="28"/>
              </w:rPr>
              <w:t>无均整（FFF）的</w:t>
            </w:r>
            <w:r>
              <w:rPr>
                <w:rFonts w:ascii="Times New Roman" w:hAnsi="Times New Roman" w:cs="Times New Roman" w:eastAsiaTheme="minorEastAsia"/>
                <w:color w:val="auto"/>
                <w:sz w:val="28"/>
                <w:szCs w:val="28"/>
              </w:rPr>
              <w:t>X</w:t>
            </w:r>
            <w:r>
              <w:rPr>
                <w:rFonts w:hint="eastAsia" w:asciiTheme="minorEastAsia" w:hAnsiTheme="minorEastAsia" w:eastAsiaTheme="minorEastAsia"/>
                <w:color w:val="auto"/>
                <w:sz w:val="28"/>
                <w:szCs w:val="28"/>
              </w:rPr>
              <w:t>射线能量</w:t>
            </w:r>
            <w:r>
              <w:rPr>
                <w:rFonts w:cs="Tahoma" w:eastAsiaTheme="minorEastAsia"/>
                <w:color w:val="auto"/>
                <w:sz w:val="28"/>
                <w:szCs w:val="28"/>
              </w:rPr>
              <w:t>≥</w:t>
            </w:r>
            <w:r>
              <w:rPr>
                <w:rFonts w:ascii="Times New Roman" w:hAnsi="Times New Roman" w:cs="Times New Roman" w:eastAsiaTheme="minorEastAsia"/>
                <w:color w:val="auto"/>
                <w:sz w:val="28"/>
                <w:szCs w:val="28"/>
              </w:rPr>
              <w:t>6MV</w:t>
            </w:r>
            <w:r>
              <w:rPr>
                <w:rFonts w:hint="eastAsia" w:ascii="Times New Roman" w:hAnsi="Times New Roman" w:cs="Times New Roman" w:eastAsiaTheme="minorEastAsia"/>
                <w:color w:val="auto"/>
                <w:sz w:val="28"/>
                <w:szCs w:val="28"/>
              </w:rPr>
              <w:t>（能量可选择，确保满足临床需求）</w:t>
            </w:r>
          </w:p>
        </w:tc>
      </w:tr>
      <w:tr w14:paraId="13894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817" w:type="dxa"/>
            <w:vAlign w:val="center"/>
          </w:tcPr>
          <w:p w14:paraId="6FA3EF0A">
            <w:pPr>
              <w:spacing w:after="0" w:line="360" w:lineRule="auto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8</w:t>
            </w:r>
          </w:p>
        </w:tc>
        <w:tc>
          <w:tcPr>
            <w:tcW w:w="7796" w:type="dxa"/>
            <w:vAlign w:val="center"/>
          </w:tcPr>
          <w:p w14:paraId="7F163F5A">
            <w:pPr>
              <w:spacing w:after="0" w:line="360" w:lineRule="auto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具备剂量监测系统，实时监测射线纵向及横向对称性及剂量稳定性</w:t>
            </w:r>
          </w:p>
        </w:tc>
      </w:tr>
      <w:tr w14:paraId="68DA0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817" w:type="dxa"/>
            <w:vAlign w:val="center"/>
          </w:tcPr>
          <w:p w14:paraId="15ACE946">
            <w:pPr>
              <w:spacing w:after="0" w:line="360" w:lineRule="auto"/>
              <w:jc w:val="center"/>
              <w:rPr>
                <w:rFonts w:hint="eastAsia" w:asciiTheme="minorEastAsia" w:hAnsiTheme="minorEastAsia" w:eastAsiaTheme="minorEastAsia"/>
                <w:strike w:val="0"/>
                <w:dstrike w:val="0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trike w:val="0"/>
                <w:dstrike w:val="0"/>
                <w:color w:val="auto"/>
                <w:sz w:val="28"/>
                <w:szCs w:val="28"/>
              </w:rPr>
              <w:t>9</w:t>
            </w:r>
          </w:p>
        </w:tc>
        <w:tc>
          <w:tcPr>
            <w:tcW w:w="7796" w:type="dxa"/>
            <w:vAlign w:val="center"/>
          </w:tcPr>
          <w:p w14:paraId="257DDED3">
            <w:pPr>
              <w:spacing w:after="0" w:line="360" w:lineRule="auto"/>
              <w:rPr>
                <w:rFonts w:hint="eastAsia" w:asciiTheme="minorEastAsia" w:hAnsiTheme="minorEastAsia" w:eastAsiaTheme="minorEastAsia"/>
                <w:strike w:val="0"/>
                <w:dstrike w:val="0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trike w:val="0"/>
                <w:dstrike w:val="0"/>
                <w:color w:val="auto"/>
                <w:sz w:val="28"/>
                <w:szCs w:val="28"/>
              </w:rPr>
              <w:t>具备≥3档不同能量的电子线，及≥3个配套限光筒</w:t>
            </w:r>
          </w:p>
        </w:tc>
      </w:tr>
      <w:tr w14:paraId="62E46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817" w:type="dxa"/>
            <w:vAlign w:val="center"/>
          </w:tcPr>
          <w:p w14:paraId="0F610106">
            <w:pPr>
              <w:spacing w:after="0" w:line="360" w:lineRule="auto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10</w:t>
            </w:r>
          </w:p>
        </w:tc>
        <w:tc>
          <w:tcPr>
            <w:tcW w:w="7796" w:type="dxa"/>
            <w:vAlign w:val="center"/>
          </w:tcPr>
          <w:p w14:paraId="1770F143">
            <w:pPr>
              <w:spacing w:after="0" w:line="360" w:lineRule="auto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具备二维适形、三维适形放疗功能</w:t>
            </w:r>
          </w:p>
        </w:tc>
      </w:tr>
      <w:tr w14:paraId="428EB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817" w:type="dxa"/>
            <w:vAlign w:val="center"/>
          </w:tcPr>
          <w:p w14:paraId="6F2A76A6">
            <w:pPr>
              <w:spacing w:after="0" w:line="360" w:lineRule="auto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11</w:t>
            </w:r>
          </w:p>
        </w:tc>
        <w:tc>
          <w:tcPr>
            <w:tcW w:w="7796" w:type="dxa"/>
            <w:vAlign w:val="center"/>
          </w:tcPr>
          <w:p w14:paraId="4B16BE48">
            <w:pPr>
              <w:spacing w:after="0" w:line="360" w:lineRule="auto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具备静态调强放疗功能</w:t>
            </w:r>
          </w:p>
        </w:tc>
      </w:tr>
      <w:tr w14:paraId="41E99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817" w:type="dxa"/>
            <w:vAlign w:val="center"/>
          </w:tcPr>
          <w:p w14:paraId="7780DD45">
            <w:pPr>
              <w:spacing w:after="0" w:line="360" w:lineRule="auto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12</w:t>
            </w:r>
          </w:p>
        </w:tc>
        <w:tc>
          <w:tcPr>
            <w:tcW w:w="7796" w:type="dxa"/>
            <w:vAlign w:val="center"/>
          </w:tcPr>
          <w:p w14:paraId="25B59388">
            <w:pPr>
              <w:spacing w:after="0" w:line="360" w:lineRule="auto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具备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动态调强放疗功能</w:t>
            </w:r>
          </w:p>
        </w:tc>
      </w:tr>
      <w:tr w14:paraId="3CB53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817" w:type="dxa"/>
            <w:vAlign w:val="center"/>
          </w:tcPr>
          <w:p w14:paraId="3A7DE282">
            <w:pPr>
              <w:spacing w:after="0" w:line="360" w:lineRule="auto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13</w:t>
            </w:r>
          </w:p>
        </w:tc>
        <w:tc>
          <w:tcPr>
            <w:tcW w:w="7796" w:type="dxa"/>
            <w:vAlign w:val="center"/>
          </w:tcPr>
          <w:p w14:paraId="0A676C5F">
            <w:pPr>
              <w:spacing w:after="0" w:line="360" w:lineRule="auto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具备容积旋转调强放疗功能，机架旋转速度、照射野形状、剂量率均可连续动态变化</w:t>
            </w:r>
          </w:p>
        </w:tc>
      </w:tr>
      <w:tr w14:paraId="50778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817" w:type="dxa"/>
            <w:vAlign w:val="center"/>
          </w:tcPr>
          <w:p w14:paraId="0ED26A29">
            <w:pPr>
              <w:spacing w:after="0" w:line="360" w:lineRule="auto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14</w:t>
            </w:r>
          </w:p>
        </w:tc>
        <w:tc>
          <w:tcPr>
            <w:tcW w:w="7796" w:type="dxa"/>
            <w:vAlign w:val="center"/>
          </w:tcPr>
          <w:p w14:paraId="393F67A2">
            <w:pPr>
              <w:spacing w:after="0" w:line="360" w:lineRule="auto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具备立体定向放射治疗</w:t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</w:rPr>
              <w:t>（SBRT）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功能</w:t>
            </w:r>
          </w:p>
        </w:tc>
      </w:tr>
      <w:tr w14:paraId="52FE3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817" w:type="dxa"/>
            <w:vAlign w:val="center"/>
          </w:tcPr>
          <w:p w14:paraId="14DADB1D">
            <w:pPr>
              <w:spacing w:after="0" w:line="360" w:lineRule="auto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15</w:t>
            </w:r>
          </w:p>
        </w:tc>
        <w:tc>
          <w:tcPr>
            <w:tcW w:w="7796" w:type="dxa"/>
            <w:vAlign w:val="center"/>
          </w:tcPr>
          <w:p w14:paraId="2B14AB59">
            <w:pPr>
              <w:spacing w:after="0" w:line="360" w:lineRule="auto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具备运动管理系统，支持门控放疗功能（所有接口免费）</w:t>
            </w:r>
          </w:p>
        </w:tc>
      </w:tr>
      <w:tr w14:paraId="655C7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817" w:type="dxa"/>
            <w:vAlign w:val="center"/>
          </w:tcPr>
          <w:p w14:paraId="7DA6A564">
            <w:pPr>
              <w:spacing w:after="0" w:line="360" w:lineRule="auto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16</w:t>
            </w:r>
          </w:p>
        </w:tc>
        <w:tc>
          <w:tcPr>
            <w:tcW w:w="7796" w:type="dxa"/>
            <w:vAlign w:val="center"/>
          </w:tcPr>
          <w:p w14:paraId="7D23E6DC">
            <w:pPr>
              <w:spacing w:after="0" w:line="360" w:lineRule="auto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具备高精度动态放射外科功能</w:t>
            </w:r>
          </w:p>
        </w:tc>
      </w:tr>
      <w:tr w14:paraId="1B2F1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817" w:type="dxa"/>
            <w:vAlign w:val="center"/>
          </w:tcPr>
          <w:p w14:paraId="276A6434">
            <w:pPr>
              <w:spacing w:after="0" w:line="360" w:lineRule="auto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17</w:t>
            </w:r>
          </w:p>
        </w:tc>
        <w:tc>
          <w:tcPr>
            <w:tcW w:w="7796" w:type="dxa"/>
            <w:vAlign w:val="center"/>
          </w:tcPr>
          <w:p w14:paraId="3792F0DD">
            <w:pPr>
              <w:spacing w:after="0" w:line="360" w:lineRule="auto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具备多叶准直系统</w:t>
            </w:r>
          </w:p>
        </w:tc>
      </w:tr>
      <w:tr w14:paraId="664C4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817" w:type="dxa"/>
            <w:vAlign w:val="center"/>
          </w:tcPr>
          <w:p w14:paraId="797F782D">
            <w:pPr>
              <w:spacing w:after="0" w:line="360" w:lineRule="auto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18</w:t>
            </w:r>
          </w:p>
        </w:tc>
        <w:tc>
          <w:tcPr>
            <w:tcW w:w="7796" w:type="dxa"/>
            <w:vAlign w:val="center"/>
          </w:tcPr>
          <w:p w14:paraId="2A3249F7">
            <w:pPr>
              <w:spacing w:after="0" w:line="360" w:lineRule="auto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具备</w:t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</w:rPr>
              <w:t>KV-KV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图像引导系统，实现KV图像与计划CT图像配准功能</w:t>
            </w:r>
          </w:p>
        </w:tc>
      </w:tr>
      <w:tr w14:paraId="4E1EA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817" w:type="dxa"/>
            <w:vAlign w:val="center"/>
          </w:tcPr>
          <w:p w14:paraId="1740FCD3">
            <w:pPr>
              <w:spacing w:after="0" w:line="360" w:lineRule="auto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19</w:t>
            </w:r>
          </w:p>
        </w:tc>
        <w:tc>
          <w:tcPr>
            <w:tcW w:w="7796" w:type="dxa"/>
            <w:vAlign w:val="center"/>
          </w:tcPr>
          <w:p w14:paraId="332FDC2E">
            <w:pPr>
              <w:spacing w:after="0" w:line="360" w:lineRule="auto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具备常规</w:t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</w:rPr>
              <w:t>CBCT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及</w:t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</w:rPr>
              <w:t>4D CBCT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图像引导系统，实现CBCT图像与计划CT图像配准功能</w:t>
            </w:r>
          </w:p>
        </w:tc>
      </w:tr>
      <w:tr w14:paraId="6D120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817" w:type="dxa"/>
            <w:vAlign w:val="center"/>
          </w:tcPr>
          <w:p w14:paraId="09E090A1">
            <w:pPr>
              <w:spacing w:after="0" w:line="360" w:lineRule="auto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</w:t>
            </w:r>
          </w:p>
        </w:tc>
        <w:tc>
          <w:tcPr>
            <w:tcW w:w="7796" w:type="dxa"/>
            <w:vAlign w:val="center"/>
          </w:tcPr>
          <w:p w14:paraId="071934FA">
            <w:pPr>
              <w:spacing w:after="0" w:line="360" w:lineRule="auto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具备电子射野影像系统</w:t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</w:rPr>
              <w:t>（EPID）</w:t>
            </w:r>
          </w:p>
        </w:tc>
      </w:tr>
      <w:tr w14:paraId="0C520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817" w:type="dxa"/>
            <w:vAlign w:val="center"/>
          </w:tcPr>
          <w:p w14:paraId="68D809FC">
            <w:pPr>
              <w:spacing w:after="0" w:line="360" w:lineRule="auto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21</w:t>
            </w:r>
          </w:p>
        </w:tc>
        <w:tc>
          <w:tcPr>
            <w:tcW w:w="7796" w:type="dxa"/>
            <w:vAlign w:val="center"/>
          </w:tcPr>
          <w:p w14:paraId="43040574">
            <w:pPr>
              <w:spacing w:after="0" w:line="360" w:lineRule="auto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具备机载计划验证系统全套软硬件、</w:t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</w:rPr>
              <w:t>Licence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及分析、比对、记录系统</w:t>
            </w:r>
          </w:p>
        </w:tc>
      </w:tr>
      <w:tr w14:paraId="4A7FA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817" w:type="dxa"/>
            <w:vAlign w:val="center"/>
          </w:tcPr>
          <w:p w14:paraId="419AF86F">
            <w:pPr>
              <w:spacing w:after="0" w:line="360" w:lineRule="auto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22</w:t>
            </w:r>
          </w:p>
        </w:tc>
        <w:tc>
          <w:tcPr>
            <w:tcW w:w="7796" w:type="dxa"/>
            <w:vAlign w:val="center"/>
          </w:tcPr>
          <w:p w14:paraId="71399E6D">
            <w:pPr>
              <w:spacing w:after="0" w:line="360" w:lineRule="auto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具备原厂配套放疗治疗计划系统</w:t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</w:rPr>
              <w:t>（TPS）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，并支持设计优化各种电子线、适形、正向及逆向调强、容积调强</w:t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</w:rPr>
              <w:t>、SRS、SBRT、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空间分割放疗、共面及非共面、均整射线及无均整射线放疗计划</w:t>
            </w:r>
          </w:p>
        </w:tc>
      </w:tr>
      <w:tr w14:paraId="3F8CD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817" w:type="dxa"/>
            <w:vAlign w:val="center"/>
          </w:tcPr>
          <w:p w14:paraId="1F718EF3">
            <w:pPr>
              <w:spacing w:after="0" w:line="360" w:lineRule="auto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23</w:t>
            </w:r>
          </w:p>
        </w:tc>
        <w:tc>
          <w:tcPr>
            <w:tcW w:w="7796" w:type="dxa"/>
            <w:vAlign w:val="center"/>
          </w:tcPr>
          <w:p w14:paraId="6285BC11">
            <w:pPr>
              <w:spacing w:after="0" w:line="360" w:lineRule="auto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同品牌物理师工作站</w:t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</w:rPr>
              <w:t>≥4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套（包括所有主机和显示器等软硬件，所有软硬件必须均为原厂产品）</w:t>
            </w:r>
          </w:p>
        </w:tc>
      </w:tr>
      <w:tr w14:paraId="2B2C1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817" w:type="dxa"/>
            <w:vAlign w:val="center"/>
          </w:tcPr>
          <w:p w14:paraId="190B1646">
            <w:pPr>
              <w:spacing w:after="0" w:line="360" w:lineRule="auto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24</w:t>
            </w:r>
          </w:p>
        </w:tc>
        <w:tc>
          <w:tcPr>
            <w:tcW w:w="7796" w:type="dxa"/>
            <w:vAlign w:val="center"/>
          </w:tcPr>
          <w:p w14:paraId="59624CE0">
            <w:pPr>
              <w:spacing w:after="0" w:line="360" w:lineRule="auto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同品牌医生工作站</w:t>
            </w:r>
            <w:r>
              <w:rPr>
                <w:rFonts w:cs="Tahoma" w:eastAsiaTheme="minorEastAsia"/>
                <w:sz w:val="28"/>
                <w:szCs w:val="28"/>
              </w:rPr>
              <w:t>≥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8套（包括所有主机和显示器等软硬件，所有软硬件必须均为原厂产品）</w:t>
            </w:r>
          </w:p>
        </w:tc>
      </w:tr>
      <w:tr w14:paraId="06AC7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817" w:type="dxa"/>
            <w:vAlign w:val="center"/>
          </w:tcPr>
          <w:p w14:paraId="55AA1D4B">
            <w:pPr>
              <w:spacing w:after="0" w:line="360" w:lineRule="auto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25</w:t>
            </w:r>
          </w:p>
        </w:tc>
        <w:tc>
          <w:tcPr>
            <w:tcW w:w="7796" w:type="dxa"/>
            <w:vAlign w:val="center"/>
          </w:tcPr>
          <w:p w14:paraId="7A32B73C">
            <w:pPr>
              <w:spacing w:after="0" w:line="360" w:lineRule="auto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具备影像导入、图像配准（应支持</w:t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</w:rPr>
              <w:t>CT、MRI、CBCT、PET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等之间的刚性及形变配准）、支持多模态影像勾画、支持4D影像数据处理如生成</w:t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</w:rPr>
              <w:t>4D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影像</w:t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</w:rPr>
              <w:t>、MIP、AIP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等图像功能</w:t>
            </w:r>
          </w:p>
        </w:tc>
      </w:tr>
      <w:tr w14:paraId="4E3C3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817" w:type="dxa"/>
            <w:vAlign w:val="center"/>
          </w:tcPr>
          <w:p w14:paraId="212C4C70">
            <w:pPr>
              <w:spacing w:after="0" w:line="360" w:lineRule="auto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26</w:t>
            </w:r>
          </w:p>
        </w:tc>
        <w:tc>
          <w:tcPr>
            <w:tcW w:w="7796" w:type="dxa"/>
            <w:vAlign w:val="center"/>
          </w:tcPr>
          <w:p w14:paraId="3B7D3A8E">
            <w:pPr>
              <w:spacing w:after="0" w:line="360" w:lineRule="auto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具备加速器在线快速质控系统</w:t>
            </w:r>
          </w:p>
        </w:tc>
      </w:tr>
      <w:tr w14:paraId="72D01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817" w:type="dxa"/>
            <w:vAlign w:val="center"/>
          </w:tcPr>
          <w:p w14:paraId="777963A9">
            <w:pPr>
              <w:spacing w:after="0" w:line="360" w:lineRule="auto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27</w:t>
            </w:r>
          </w:p>
        </w:tc>
        <w:tc>
          <w:tcPr>
            <w:tcW w:w="7796" w:type="dxa"/>
            <w:vAlign w:val="center"/>
          </w:tcPr>
          <w:p w14:paraId="06F1517E">
            <w:pPr>
              <w:spacing w:after="0" w:line="360" w:lineRule="auto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具备配套同品牌放疗信息网络系统</w:t>
            </w:r>
          </w:p>
        </w:tc>
      </w:tr>
      <w:tr w14:paraId="3D153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817" w:type="dxa"/>
            <w:vAlign w:val="center"/>
          </w:tcPr>
          <w:p w14:paraId="33D301D1">
            <w:pPr>
              <w:spacing w:after="0" w:line="360" w:lineRule="auto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28</w:t>
            </w:r>
          </w:p>
        </w:tc>
        <w:tc>
          <w:tcPr>
            <w:tcW w:w="7796" w:type="dxa"/>
            <w:vAlign w:val="center"/>
          </w:tcPr>
          <w:p w14:paraId="40F97549">
            <w:pPr>
              <w:spacing w:after="0" w:line="360" w:lineRule="auto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具备计划评估系统，具备对放疗剂量逐层、点剂量评估和根据DVH评估，及对多个计划叠加评估等功能。</w:t>
            </w:r>
          </w:p>
        </w:tc>
      </w:tr>
      <w:tr w14:paraId="31391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817" w:type="dxa"/>
            <w:vAlign w:val="center"/>
          </w:tcPr>
          <w:p w14:paraId="72721730">
            <w:pPr>
              <w:spacing w:after="0" w:line="360" w:lineRule="auto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29</w:t>
            </w:r>
          </w:p>
        </w:tc>
        <w:tc>
          <w:tcPr>
            <w:tcW w:w="7796" w:type="dxa"/>
            <w:vAlign w:val="center"/>
          </w:tcPr>
          <w:p w14:paraId="1DF092B6">
            <w:pPr>
              <w:spacing w:after="0" w:line="360" w:lineRule="auto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具备防碰撞安全连锁功能</w:t>
            </w:r>
          </w:p>
        </w:tc>
      </w:tr>
      <w:tr w14:paraId="39B14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817" w:type="dxa"/>
            <w:vAlign w:val="center"/>
          </w:tcPr>
          <w:p w14:paraId="762B8EC8">
            <w:pPr>
              <w:spacing w:after="0" w:line="360" w:lineRule="auto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30</w:t>
            </w:r>
          </w:p>
        </w:tc>
        <w:tc>
          <w:tcPr>
            <w:tcW w:w="7796" w:type="dxa"/>
            <w:vAlign w:val="center"/>
          </w:tcPr>
          <w:p w14:paraId="00117B3B">
            <w:pPr>
              <w:spacing w:after="0" w:line="360" w:lineRule="auto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具备屏蔽门联锁及出束状态指示灯功能</w:t>
            </w:r>
          </w:p>
        </w:tc>
      </w:tr>
      <w:tr w14:paraId="655F8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817" w:type="dxa"/>
            <w:vAlign w:val="center"/>
          </w:tcPr>
          <w:p w14:paraId="602CA420">
            <w:pPr>
              <w:spacing w:after="0" w:line="360" w:lineRule="auto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31</w:t>
            </w:r>
          </w:p>
        </w:tc>
        <w:tc>
          <w:tcPr>
            <w:tcW w:w="7796" w:type="dxa"/>
            <w:vAlign w:val="center"/>
          </w:tcPr>
          <w:p w14:paraId="2BA1484D">
            <w:pPr>
              <w:spacing w:after="0" w:line="360" w:lineRule="auto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具备极强的可扩展性，加速器及其配套部件所有接口免费开放，方便与医院</w:t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</w:rPr>
              <w:t>HIS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、信息化系统及其他第三方软、硬件连接</w:t>
            </w:r>
          </w:p>
        </w:tc>
      </w:tr>
      <w:tr w14:paraId="4FD9A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817" w:type="dxa"/>
            <w:vAlign w:val="center"/>
          </w:tcPr>
          <w:p w14:paraId="1C166CA9">
            <w:pPr>
              <w:spacing w:after="0" w:line="360" w:lineRule="auto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32</w:t>
            </w:r>
          </w:p>
        </w:tc>
        <w:tc>
          <w:tcPr>
            <w:tcW w:w="7796" w:type="dxa"/>
            <w:vAlign w:val="center"/>
          </w:tcPr>
          <w:p w14:paraId="23535B13">
            <w:pPr>
              <w:spacing w:after="0" w:line="360" w:lineRule="auto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具备数字化故障码报错功能，方便快速定位加速器故障所在</w:t>
            </w:r>
          </w:p>
        </w:tc>
      </w:tr>
      <w:tr w14:paraId="07855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817" w:type="dxa"/>
            <w:vAlign w:val="center"/>
          </w:tcPr>
          <w:p w14:paraId="6CCB4BA5">
            <w:pPr>
              <w:spacing w:after="0" w:line="360" w:lineRule="auto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7796" w:type="dxa"/>
            <w:vAlign w:val="center"/>
          </w:tcPr>
          <w:p w14:paraId="4E21F373">
            <w:pPr>
              <w:spacing w:after="0" w:line="360" w:lineRule="auto"/>
              <w:rPr>
                <w:rFonts w:hint="eastAsia" w:cs="Calibri" w:asciiTheme="minorEastAsia" w:hAnsiTheme="minorEastAsia" w:eastAsiaTheme="minorEastAsia"/>
                <w:sz w:val="28"/>
                <w:szCs w:val="28"/>
              </w:rPr>
            </w:pPr>
            <w:r>
              <w:rPr>
                <w:rFonts w:cs="Calibri" w:asciiTheme="minorEastAsia" w:hAnsiTheme="minorEastAsia" w:eastAsiaTheme="minorEastAsia"/>
                <w:b/>
                <w:bCs/>
                <w:sz w:val="28"/>
                <w:szCs w:val="28"/>
              </w:rPr>
              <w:t>配套设备及附件</w:t>
            </w:r>
          </w:p>
        </w:tc>
      </w:tr>
      <w:tr w14:paraId="4FFAF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817" w:type="dxa"/>
            <w:vAlign w:val="center"/>
          </w:tcPr>
          <w:p w14:paraId="2227EC1B">
            <w:pPr>
              <w:spacing w:after="0" w:line="360" w:lineRule="auto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1</w:t>
            </w:r>
          </w:p>
        </w:tc>
        <w:tc>
          <w:tcPr>
            <w:tcW w:w="7796" w:type="dxa"/>
            <w:vAlign w:val="center"/>
          </w:tcPr>
          <w:p w14:paraId="70999BCD">
            <w:pPr>
              <w:spacing w:after="0" w:line="360" w:lineRule="auto"/>
              <w:rPr>
                <w:rFonts w:hint="eastAsia" w:cs="Calibri" w:asciiTheme="minorEastAsia" w:hAnsiTheme="minorEastAsia" w:eastAsiaTheme="minorEastAsia"/>
                <w:sz w:val="28"/>
                <w:szCs w:val="28"/>
              </w:rPr>
            </w:pPr>
            <w:r>
              <w:rPr>
                <w:rFonts w:cs="Calibri" w:asciiTheme="minorEastAsia" w:hAnsiTheme="minorEastAsia" w:eastAsiaTheme="minorEastAsia"/>
                <w:sz w:val="28"/>
                <w:szCs w:val="28"/>
              </w:rPr>
              <w:t>稳压电源</w:t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</w:rPr>
              <w:t>1</w:t>
            </w:r>
            <w:r>
              <w:rPr>
                <w:rFonts w:cs="Calibri" w:asciiTheme="minorEastAsia" w:hAnsiTheme="minorEastAsia" w:eastAsiaTheme="minorEastAsia"/>
                <w:sz w:val="28"/>
                <w:szCs w:val="28"/>
              </w:rPr>
              <w:t>台</w:t>
            </w:r>
          </w:p>
        </w:tc>
      </w:tr>
      <w:tr w14:paraId="70897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817" w:type="dxa"/>
            <w:vAlign w:val="center"/>
          </w:tcPr>
          <w:p w14:paraId="6A31C2BC">
            <w:pPr>
              <w:spacing w:after="0" w:line="360" w:lineRule="auto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</w:t>
            </w:r>
          </w:p>
        </w:tc>
        <w:tc>
          <w:tcPr>
            <w:tcW w:w="7796" w:type="dxa"/>
            <w:vAlign w:val="center"/>
          </w:tcPr>
          <w:p w14:paraId="1208A408">
            <w:pPr>
              <w:spacing w:after="0" w:line="360" w:lineRule="auto"/>
              <w:rPr>
                <w:rFonts w:hint="eastAsia" w:cs="Calibri" w:asciiTheme="minorEastAsia" w:hAnsiTheme="minorEastAsia" w:eastAsiaTheme="minorEastAsia"/>
                <w:sz w:val="28"/>
                <w:szCs w:val="28"/>
              </w:rPr>
            </w:pPr>
            <w:r>
              <w:rPr>
                <w:rFonts w:cs="Calibri" w:asciiTheme="minorEastAsia" w:hAnsiTheme="minorEastAsia" w:eastAsiaTheme="minorEastAsia"/>
                <w:sz w:val="28"/>
                <w:szCs w:val="28"/>
              </w:rPr>
              <w:t>水冷机</w:t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</w:rPr>
              <w:t>1</w:t>
            </w:r>
            <w:r>
              <w:rPr>
                <w:rFonts w:cs="Calibri" w:asciiTheme="minorEastAsia" w:hAnsiTheme="minorEastAsia" w:eastAsiaTheme="minorEastAsia"/>
                <w:sz w:val="28"/>
                <w:szCs w:val="28"/>
              </w:rPr>
              <w:t>台</w:t>
            </w:r>
          </w:p>
        </w:tc>
      </w:tr>
      <w:tr w14:paraId="09A5F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817" w:type="dxa"/>
            <w:vAlign w:val="center"/>
          </w:tcPr>
          <w:p w14:paraId="63F820FB">
            <w:pPr>
              <w:spacing w:after="0" w:line="360" w:lineRule="auto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3</w:t>
            </w:r>
          </w:p>
        </w:tc>
        <w:tc>
          <w:tcPr>
            <w:tcW w:w="7796" w:type="dxa"/>
            <w:vAlign w:val="center"/>
          </w:tcPr>
          <w:p w14:paraId="41162569">
            <w:pPr>
              <w:spacing w:after="0" w:line="360" w:lineRule="auto"/>
              <w:rPr>
                <w:rFonts w:hint="eastAsia" w:cs="Calibri" w:asciiTheme="minorEastAsia" w:hAnsiTheme="minorEastAsia" w:eastAsiaTheme="minorEastAsia"/>
                <w:sz w:val="28"/>
                <w:szCs w:val="28"/>
              </w:rPr>
            </w:pPr>
            <w:r>
              <w:rPr>
                <w:rFonts w:cs="Calibri" w:asciiTheme="minorEastAsia" w:hAnsiTheme="minorEastAsia" w:eastAsiaTheme="minorEastAsia"/>
                <w:sz w:val="28"/>
                <w:szCs w:val="28"/>
              </w:rPr>
              <w:t>激光定位系统1套</w:t>
            </w:r>
          </w:p>
        </w:tc>
      </w:tr>
      <w:tr w14:paraId="13020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817" w:type="dxa"/>
            <w:vAlign w:val="center"/>
          </w:tcPr>
          <w:p w14:paraId="3F757998">
            <w:pPr>
              <w:spacing w:after="0" w:line="360" w:lineRule="auto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4</w:t>
            </w:r>
          </w:p>
        </w:tc>
        <w:tc>
          <w:tcPr>
            <w:tcW w:w="7796" w:type="dxa"/>
            <w:vAlign w:val="center"/>
          </w:tcPr>
          <w:p w14:paraId="18C685A7">
            <w:pPr>
              <w:spacing w:after="0" w:line="360" w:lineRule="auto"/>
              <w:rPr>
                <w:rFonts w:hint="eastAsia" w:cs="Calibri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实时低延迟全角度视听监控系统</w:t>
            </w:r>
            <w:r>
              <w:rPr>
                <w:rFonts w:hint="eastAsia" w:cs="Calibri" w:asciiTheme="minorEastAsia" w:hAnsiTheme="minorEastAsia" w:eastAsiaTheme="minorEastAsia"/>
                <w:sz w:val="28"/>
                <w:szCs w:val="28"/>
              </w:rPr>
              <w:t xml:space="preserve">  </w:t>
            </w:r>
            <w:r>
              <w:rPr>
                <w:rFonts w:cs="Calibri" w:asciiTheme="minorEastAsia" w:hAnsiTheme="minorEastAsia" w:eastAsiaTheme="minorEastAsia"/>
                <w:sz w:val="28"/>
                <w:szCs w:val="28"/>
              </w:rPr>
              <w:t>1套</w:t>
            </w:r>
          </w:p>
        </w:tc>
      </w:tr>
      <w:tr w14:paraId="469C9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817" w:type="dxa"/>
            <w:vAlign w:val="center"/>
          </w:tcPr>
          <w:p w14:paraId="507DDB98">
            <w:pPr>
              <w:spacing w:after="0" w:line="360" w:lineRule="auto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5</w:t>
            </w:r>
          </w:p>
        </w:tc>
        <w:tc>
          <w:tcPr>
            <w:tcW w:w="7796" w:type="dxa"/>
            <w:vAlign w:val="center"/>
          </w:tcPr>
          <w:p w14:paraId="075E457E">
            <w:pPr>
              <w:spacing w:after="0" w:line="360" w:lineRule="auto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控制系统</w:t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</w:rPr>
              <w:t>UPS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电源1套</w:t>
            </w:r>
          </w:p>
        </w:tc>
      </w:tr>
      <w:tr w14:paraId="62A02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817" w:type="dxa"/>
            <w:vAlign w:val="center"/>
          </w:tcPr>
          <w:p w14:paraId="011EA863">
            <w:pPr>
              <w:spacing w:after="0" w:line="360" w:lineRule="auto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5</w:t>
            </w:r>
          </w:p>
        </w:tc>
        <w:tc>
          <w:tcPr>
            <w:tcW w:w="7796" w:type="dxa"/>
            <w:vAlign w:val="center"/>
          </w:tcPr>
          <w:p w14:paraId="102E7DE3">
            <w:pPr>
              <w:spacing w:after="0" w:line="360" w:lineRule="auto"/>
              <w:rPr>
                <w:rFonts w:hint="eastAsia" w:cs="Calibri" w:asciiTheme="minorEastAsia" w:hAnsiTheme="minorEastAsia" w:eastAsiaTheme="minorEastAsia"/>
                <w:sz w:val="28"/>
                <w:szCs w:val="28"/>
              </w:rPr>
            </w:pPr>
            <w:r>
              <w:rPr>
                <w:rFonts w:cs="Calibri" w:asciiTheme="minorEastAsia" w:hAnsiTheme="minorEastAsia" w:eastAsiaTheme="minorEastAsia"/>
                <w:sz w:val="28"/>
                <w:szCs w:val="28"/>
              </w:rPr>
              <w:t>辐射防护及监测系统</w:t>
            </w:r>
            <w:r>
              <w:rPr>
                <w:rFonts w:hint="eastAsia" w:cs="Calibri" w:asciiTheme="minorEastAsia" w:hAnsiTheme="minorEastAsia" w:eastAsiaTheme="minorEastAsia"/>
                <w:sz w:val="28"/>
                <w:szCs w:val="28"/>
              </w:rPr>
              <w:t xml:space="preserve">   1</w:t>
            </w:r>
            <w:r>
              <w:rPr>
                <w:rFonts w:cs="Calibri" w:asciiTheme="minorEastAsia" w:hAnsiTheme="minorEastAsia" w:eastAsiaTheme="minorEastAsia"/>
                <w:sz w:val="28"/>
                <w:szCs w:val="28"/>
              </w:rPr>
              <w:t>套</w:t>
            </w:r>
          </w:p>
        </w:tc>
      </w:tr>
      <w:tr w14:paraId="6EB8F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817" w:type="dxa"/>
            <w:vAlign w:val="center"/>
          </w:tcPr>
          <w:p w14:paraId="364A41A3">
            <w:pPr>
              <w:spacing w:after="0" w:line="360" w:lineRule="auto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6</w:t>
            </w:r>
          </w:p>
        </w:tc>
        <w:tc>
          <w:tcPr>
            <w:tcW w:w="7796" w:type="dxa"/>
            <w:vAlign w:val="center"/>
          </w:tcPr>
          <w:p w14:paraId="59C4D1FF">
            <w:pPr>
              <w:spacing w:after="0" w:line="360" w:lineRule="auto"/>
              <w:rPr>
                <w:rFonts w:hint="eastAsia" w:cs="Calibri" w:asciiTheme="minorEastAsia" w:hAnsiTheme="minorEastAsia" w:eastAsiaTheme="minorEastAsia"/>
                <w:sz w:val="28"/>
                <w:szCs w:val="28"/>
              </w:rPr>
            </w:pPr>
            <w:r>
              <w:rPr>
                <w:rFonts w:cs="Calibri" w:asciiTheme="minorEastAsia" w:hAnsiTheme="minorEastAsia" w:eastAsiaTheme="minorEastAsia"/>
                <w:sz w:val="28"/>
                <w:szCs w:val="28"/>
              </w:rPr>
              <w:t>维修工具1套</w:t>
            </w:r>
          </w:p>
        </w:tc>
      </w:tr>
      <w:tr w14:paraId="3D296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817" w:type="dxa"/>
            <w:vAlign w:val="center"/>
          </w:tcPr>
          <w:p w14:paraId="49F24237">
            <w:pPr>
              <w:spacing w:after="0" w:line="360" w:lineRule="auto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</w:p>
        </w:tc>
        <w:tc>
          <w:tcPr>
            <w:tcW w:w="7796" w:type="dxa"/>
            <w:vAlign w:val="center"/>
          </w:tcPr>
          <w:p w14:paraId="6DE31F01">
            <w:pPr>
              <w:spacing w:after="0" w:line="360" w:lineRule="auto"/>
              <w:rPr>
                <w:rFonts w:hint="eastAsia" w:cs="Calibri" w:asciiTheme="minorEastAsia" w:hAnsiTheme="minorEastAsia" w:eastAsiaTheme="minorEastAsia"/>
                <w:sz w:val="28"/>
                <w:szCs w:val="28"/>
              </w:rPr>
            </w:pPr>
            <w:r>
              <w:rPr>
                <w:rFonts w:cs="Calibri" w:asciiTheme="minorEastAsia" w:hAnsiTheme="minorEastAsia" w:eastAsiaTheme="minorEastAsia"/>
                <w:sz w:val="28"/>
                <w:szCs w:val="28"/>
              </w:rPr>
              <w:t>测量</w:t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</w:rPr>
              <w:t>KV</w:t>
            </w:r>
            <w:r>
              <w:rPr>
                <w:rFonts w:cs="Calibri" w:asciiTheme="minorEastAsia" w:hAnsiTheme="minorEastAsia" w:eastAsiaTheme="minorEastAsia"/>
                <w:sz w:val="28"/>
                <w:szCs w:val="28"/>
              </w:rPr>
              <w:t>和</w:t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</w:rPr>
              <w:t>MV</w:t>
            </w:r>
            <w:r>
              <w:rPr>
                <w:rFonts w:cs="Calibri" w:asciiTheme="minorEastAsia" w:hAnsiTheme="minorEastAsia" w:eastAsiaTheme="minorEastAsia"/>
                <w:sz w:val="28"/>
                <w:szCs w:val="28"/>
              </w:rPr>
              <w:t>中心一致性模体</w:t>
            </w:r>
            <w:r>
              <w:rPr>
                <w:rFonts w:hint="eastAsia" w:cs="Calibri" w:asciiTheme="minorEastAsia" w:hAnsiTheme="minorEastAsia" w:eastAsiaTheme="minorEastAsia"/>
                <w:sz w:val="28"/>
                <w:szCs w:val="28"/>
              </w:rPr>
              <w:t xml:space="preserve">  1套</w:t>
            </w:r>
          </w:p>
        </w:tc>
      </w:tr>
      <w:tr w14:paraId="71423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817" w:type="dxa"/>
            <w:vAlign w:val="center"/>
          </w:tcPr>
          <w:p w14:paraId="775C61A9">
            <w:pPr>
              <w:spacing w:after="0" w:line="360" w:lineRule="auto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8</w:t>
            </w:r>
          </w:p>
        </w:tc>
        <w:tc>
          <w:tcPr>
            <w:tcW w:w="7796" w:type="dxa"/>
            <w:vAlign w:val="center"/>
          </w:tcPr>
          <w:p w14:paraId="2E1B8822">
            <w:pPr>
              <w:spacing w:after="0" w:line="360" w:lineRule="auto"/>
              <w:rPr>
                <w:rFonts w:hint="eastAsia" w:cs="Calibri" w:asciiTheme="minorEastAsia" w:hAnsiTheme="minorEastAsia" w:eastAsiaTheme="minorEastAsia"/>
                <w:sz w:val="28"/>
                <w:szCs w:val="28"/>
              </w:rPr>
            </w:pPr>
            <w:r>
              <w:rPr>
                <w:rFonts w:cs="Calibri" w:asciiTheme="minorEastAsia" w:hAnsiTheme="minorEastAsia" w:eastAsiaTheme="minorEastAsia"/>
                <w:sz w:val="28"/>
                <w:szCs w:val="28"/>
              </w:rPr>
              <w:t>用于测量</w:t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</w:rPr>
              <w:t>CBCT</w:t>
            </w:r>
            <w:r>
              <w:rPr>
                <w:rFonts w:cs="Calibri" w:asciiTheme="minorEastAsia" w:hAnsiTheme="minorEastAsia" w:eastAsiaTheme="minorEastAsia"/>
                <w:sz w:val="28"/>
                <w:szCs w:val="28"/>
              </w:rPr>
              <w:t>图像对比度、空间分辨率和均匀性的模体</w:t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</w:rPr>
              <w:t xml:space="preserve"> 1</w:t>
            </w:r>
            <w:r>
              <w:rPr>
                <w:rFonts w:hint="eastAsia" w:cs="Calibri" w:asciiTheme="minorEastAsia" w:hAnsiTheme="minorEastAsia" w:eastAsiaTheme="minorEastAsia"/>
                <w:sz w:val="28"/>
                <w:szCs w:val="28"/>
              </w:rPr>
              <w:t>套</w:t>
            </w:r>
          </w:p>
        </w:tc>
      </w:tr>
      <w:tr w14:paraId="2D423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817" w:type="dxa"/>
            <w:vAlign w:val="center"/>
          </w:tcPr>
          <w:p w14:paraId="15520C1A">
            <w:pPr>
              <w:spacing w:after="0" w:line="360" w:lineRule="auto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9</w:t>
            </w:r>
          </w:p>
        </w:tc>
        <w:tc>
          <w:tcPr>
            <w:tcW w:w="7796" w:type="dxa"/>
            <w:vAlign w:val="center"/>
          </w:tcPr>
          <w:p w14:paraId="07A7039C">
            <w:pPr>
              <w:spacing w:after="0" w:line="360" w:lineRule="auto"/>
              <w:rPr>
                <w:rFonts w:hint="eastAsia" w:cs="Calibri" w:asciiTheme="minorEastAsia" w:hAnsiTheme="minorEastAsia" w:eastAsiaTheme="minorEastAsia"/>
                <w:sz w:val="28"/>
                <w:szCs w:val="28"/>
              </w:rPr>
            </w:pPr>
            <w:r>
              <w:rPr>
                <w:rFonts w:cs="Calibri" w:asciiTheme="minorEastAsia" w:hAnsiTheme="minorEastAsia" w:eastAsiaTheme="minorEastAsia"/>
                <w:sz w:val="28"/>
                <w:szCs w:val="28"/>
              </w:rPr>
              <w:t>用于测量</w:t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</w:rPr>
              <w:t>kV</w:t>
            </w:r>
            <w:r>
              <w:rPr>
                <w:rFonts w:cs="Calibri" w:asciiTheme="minorEastAsia" w:hAnsiTheme="minorEastAsia" w:eastAsiaTheme="minorEastAsia"/>
                <w:sz w:val="28"/>
                <w:szCs w:val="28"/>
              </w:rPr>
              <w:t>成像系统的空间分辨率和对比度</w:t>
            </w:r>
            <w:r>
              <w:rPr>
                <w:rFonts w:hint="eastAsia" w:cs="Calibri" w:asciiTheme="minorEastAsia" w:hAnsiTheme="minorEastAsia" w:eastAsiaTheme="minorEastAsia"/>
                <w:sz w:val="28"/>
                <w:szCs w:val="28"/>
              </w:rPr>
              <w:t>的模体 1套</w:t>
            </w:r>
          </w:p>
        </w:tc>
      </w:tr>
      <w:tr w14:paraId="52D21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817" w:type="dxa"/>
            <w:vAlign w:val="center"/>
          </w:tcPr>
          <w:p w14:paraId="60BA28BD">
            <w:pPr>
              <w:spacing w:after="0" w:line="360" w:lineRule="auto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10</w:t>
            </w:r>
          </w:p>
        </w:tc>
        <w:tc>
          <w:tcPr>
            <w:tcW w:w="7796" w:type="dxa"/>
            <w:vAlign w:val="center"/>
          </w:tcPr>
          <w:p w14:paraId="60B9CBF3">
            <w:pPr>
              <w:spacing w:after="0" w:line="360" w:lineRule="auto"/>
              <w:rPr>
                <w:rFonts w:hint="eastAsia" w:cs="Calibri" w:asciiTheme="minorEastAsia" w:hAnsiTheme="minorEastAsia" w:eastAsiaTheme="minorEastAsia"/>
                <w:sz w:val="28"/>
                <w:szCs w:val="28"/>
              </w:rPr>
            </w:pPr>
            <w:r>
              <w:rPr>
                <w:rFonts w:cs="Calibri" w:asciiTheme="minorEastAsia" w:hAnsiTheme="minorEastAsia" w:eastAsiaTheme="minorEastAsia"/>
                <w:sz w:val="28"/>
                <w:szCs w:val="28"/>
              </w:rPr>
              <w:t>测量</w:t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</w:rPr>
              <w:t>MV</w:t>
            </w:r>
            <w:r>
              <w:rPr>
                <w:rFonts w:cs="Calibri" w:asciiTheme="minorEastAsia" w:hAnsiTheme="minorEastAsia" w:eastAsiaTheme="minorEastAsia"/>
                <w:sz w:val="28"/>
                <w:szCs w:val="28"/>
              </w:rPr>
              <w:t>对比度模体</w:t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</w:rPr>
              <w:t xml:space="preserve"> 1</w:t>
            </w:r>
            <w:r>
              <w:rPr>
                <w:rFonts w:hint="eastAsia" w:cs="Calibri" w:asciiTheme="minorEastAsia" w:hAnsiTheme="minorEastAsia" w:eastAsiaTheme="minorEastAsia"/>
                <w:sz w:val="28"/>
                <w:szCs w:val="28"/>
              </w:rPr>
              <w:t>套</w:t>
            </w:r>
          </w:p>
        </w:tc>
      </w:tr>
      <w:tr w14:paraId="3A377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817" w:type="dxa"/>
            <w:vAlign w:val="center"/>
          </w:tcPr>
          <w:p w14:paraId="617D3D26">
            <w:pPr>
              <w:spacing w:after="0" w:line="360" w:lineRule="auto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11</w:t>
            </w:r>
          </w:p>
        </w:tc>
        <w:tc>
          <w:tcPr>
            <w:tcW w:w="7796" w:type="dxa"/>
            <w:vAlign w:val="center"/>
          </w:tcPr>
          <w:p w14:paraId="1C9FD192">
            <w:pPr>
              <w:spacing w:after="0" w:line="360" w:lineRule="auto"/>
              <w:rPr>
                <w:rFonts w:hint="eastAsia" w:cs="Calibri" w:asciiTheme="minorEastAsia" w:hAnsiTheme="minorEastAsia" w:eastAsiaTheme="minorEastAsia"/>
                <w:sz w:val="28"/>
                <w:szCs w:val="28"/>
              </w:rPr>
            </w:pPr>
            <w:r>
              <w:rPr>
                <w:rFonts w:cs="Calibri" w:asciiTheme="minorEastAsia" w:hAnsiTheme="minorEastAsia" w:eastAsiaTheme="minorEastAsia"/>
                <w:sz w:val="28"/>
                <w:szCs w:val="28"/>
              </w:rPr>
              <w:t>测量影像几何尺寸参数模体</w:t>
            </w:r>
            <w:r>
              <w:rPr>
                <w:rFonts w:hint="eastAsia" w:cs="Calibri" w:asciiTheme="minorEastAsia" w:hAnsiTheme="minorEastAsia" w:eastAsiaTheme="minorEastAsia"/>
                <w:sz w:val="28"/>
                <w:szCs w:val="28"/>
              </w:rPr>
              <w:t xml:space="preserve"> 1套</w:t>
            </w:r>
          </w:p>
        </w:tc>
      </w:tr>
      <w:tr w14:paraId="1E09E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817" w:type="dxa"/>
            <w:vAlign w:val="center"/>
          </w:tcPr>
          <w:p w14:paraId="7DDDDD38">
            <w:pPr>
              <w:spacing w:after="0" w:line="360" w:lineRule="auto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12</w:t>
            </w:r>
          </w:p>
        </w:tc>
        <w:tc>
          <w:tcPr>
            <w:tcW w:w="7796" w:type="dxa"/>
            <w:vAlign w:val="center"/>
          </w:tcPr>
          <w:p w14:paraId="437C9917">
            <w:pPr>
              <w:spacing w:after="0" w:line="360" w:lineRule="auto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加速器全套说明书及培训文件（纸质及电子版）</w:t>
            </w:r>
          </w:p>
        </w:tc>
      </w:tr>
      <w:tr w14:paraId="6F844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817" w:type="dxa"/>
            <w:vAlign w:val="center"/>
          </w:tcPr>
          <w:p w14:paraId="7D3BFF62">
            <w:pPr>
              <w:spacing w:after="0" w:line="360" w:lineRule="auto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13</w:t>
            </w:r>
          </w:p>
        </w:tc>
        <w:tc>
          <w:tcPr>
            <w:tcW w:w="7796" w:type="dxa"/>
            <w:vAlign w:val="center"/>
          </w:tcPr>
          <w:p w14:paraId="01C14BC4">
            <w:pPr>
              <w:spacing w:after="0" w:line="360" w:lineRule="auto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其他加速器日常质控工具及模体</w:t>
            </w:r>
          </w:p>
        </w:tc>
      </w:tr>
    </w:tbl>
    <w:p w14:paraId="4A90AF0F">
      <w:pPr>
        <w:spacing w:line="360" w:lineRule="auto"/>
        <w:jc w:val="both"/>
        <w:rPr>
          <w:rFonts w:hint="eastAsia" w:asciiTheme="minorEastAsia" w:hAnsiTheme="minorEastAsia" w:eastAsiaTheme="minorEastAsia"/>
          <w:sz w:val="28"/>
          <w:szCs w:val="28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4050D"/>
    <w:rsid w:val="000538E5"/>
    <w:rsid w:val="00056504"/>
    <w:rsid w:val="00060174"/>
    <w:rsid w:val="000A68CF"/>
    <w:rsid w:val="001145FF"/>
    <w:rsid w:val="001404F2"/>
    <w:rsid w:val="00155B0D"/>
    <w:rsid w:val="001602AB"/>
    <w:rsid w:val="00161759"/>
    <w:rsid w:val="00166A7A"/>
    <w:rsid w:val="001B16A7"/>
    <w:rsid w:val="001E5E58"/>
    <w:rsid w:val="002D0E86"/>
    <w:rsid w:val="002E69AF"/>
    <w:rsid w:val="00314F3E"/>
    <w:rsid w:val="00315E37"/>
    <w:rsid w:val="00323B43"/>
    <w:rsid w:val="00372753"/>
    <w:rsid w:val="003C23A1"/>
    <w:rsid w:val="003D37D8"/>
    <w:rsid w:val="003D39DB"/>
    <w:rsid w:val="003E64E8"/>
    <w:rsid w:val="003E7B4A"/>
    <w:rsid w:val="003F1ABD"/>
    <w:rsid w:val="003F38F5"/>
    <w:rsid w:val="00426133"/>
    <w:rsid w:val="004358AB"/>
    <w:rsid w:val="0044382D"/>
    <w:rsid w:val="004A345E"/>
    <w:rsid w:val="004A59D6"/>
    <w:rsid w:val="004D5DC7"/>
    <w:rsid w:val="004F7AFB"/>
    <w:rsid w:val="005105ED"/>
    <w:rsid w:val="005178F6"/>
    <w:rsid w:val="00527357"/>
    <w:rsid w:val="00612E8A"/>
    <w:rsid w:val="00617F51"/>
    <w:rsid w:val="00681451"/>
    <w:rsid w:val="006D1267"/>
    <w:rsid w:val="006D6CB4"/>
    <w:rsid w:val="006F64F9"/>
    <w:rsid w:val="00720625"/>
    <w:rsid w:val="00723CC1"/>
    <w:rsid w:val="007256D0"/>
    <w:rsid w:val="00734480"/>
    <w:rsid w:val="007D75AC"/>
    <w:rsid w:val="007E20C1"/>
    <w:rsid w:val="00832416"/>
    <w:rsid w:val="00856FFC"/>
    <w:rsid w:val="00866693"/>
    <w:rsid w:val="008A45CA"/>
    <w:rsid w:val="008B7726"/>
    <w:rsid w:val="009142F1"/>
    <w:rsid w:val="0092656D"/>
    <w:rsid w:val="00960F61"/>
    <w:rsid w:val="009809A6"/>
    <w:rsid w:val="009B3891"/>
    <w:rsid w:val="009C048C"/>
    <w:rsid w:val="00A1544C"/>
    <w:rsid w:val="00A31199"/>
    <w:rsid w:val="00A36966"/>
    <w:rsid w:val="00A83062"/>
    <w:rsid w:val="00AA5B3E"/>
    <w:rsid w:val="00AB00FB"/>
    <w:rsid w:val="00AB77DF"/>
    <w:rsid w:val="00AD7ED9"/>
    <w:rsid w:val="00B21EDB"/>
    <w:rsid w:val="00B52EA4"/>
    <w:rsid w:val="00B70B17"/>
    <w:rsid w:val="00BB18B9"/>
    <w:rsid w:val="00BB74E3"/>
    <w:rsid w:val="00C37C81"/>
    <w:rsid w:val="00C87827"/>
    <w:rsid w:val="00CC4E9C"/>
    <w:rsid w:val="00CD3EE3"/>
    <w:rsid w:val="00D06513"/>
    <w:rsid w:val="00D13B5A"/>
    <w:rsid w:val="00D31D50"/>
    <w:rsid w:val="00D34ABD"/>
    <w:rsid w:val="00D53D9E"/>
    <w:rsid w:val="00D71CD9"/>
    <w:rsid w:val="00D86C04"/>
    <w:rsid w:val="00D950DE"/>
    <w:rsid w:val="00DE61DF"/>
    <w:rsid w:val="00E96F33"/>
    <w:rsid w:val="00EA7747"/>
    <w:rsid w:val="00EB70B0"/>
    <w:rsid w:val="00EE4595"/>
    <w:rsid w:val="00F12A87"/>
    <w:rsid w:val="00F554F3"/>
    <w:rsid w:val="00FA30C4"/>
    <w:rsid w:val="053363DA"/>
    <w:rsid w:val="1FE65BC9"/>
    <w:rsid w:val="49C23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Tahoma" w:hAnsi="Tahoma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1448</Words>
  <Characters>1590</Characters>
  <Lines>77</Lines>
  <Paragraphs>105</Paragraphs>
  <TotalTime>0</TotalTime>
  <ScaleCrop>false</ScaleCrop>
  <LinksUpToDate>false</LinksUpToDate>
  <CharactersWithSpaces>1602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chan</cp:lastModifiedBy>
  <dcterms:modified xsi:type="dcterms:W3CDTF">2025-10-18T06:44:14Z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eyJoZGlkIjoiOThjNmJjMTM4OWZiZTMyNGIwNWM4N2UwZDY0OWY4NTQiLCJ1c2VySWQiOiIzNjI5MzI3MDcifQ==</vt:lpwstr>
  </property>
  <property fmtid="{D5CDD505-2E9C-101B-9397-08002B2CF9AE}" pid="3" name="KSOProductBuildVer">
    <vt:lpwstr>2052-12.1.0.22215</vt:lpwstr>
  </property>
  <property fmtid="{D5CDD505-2E9C-101B-9397-08002B2CF9AE}" pid="4" name="ICV">
    <vt:lpwstr>6B119016F0A94468B90F6E2C685A0000_13</vt:lpwstr>
  </property>
</Properties>
</file>