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68"/>
        <w:tblOverlap w:val="never"/>
        <w:tblW w:w="5000" w:type="pct"/>
        <w:jc w:val="center"/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1725"/>
        <w:gridCol w:w="5411"/>
        <w:gridCol w:w="710"/>
        <w:gridCol w:w="544"/>
      </w:tblGrid>
      <w:tr w14:paraId="36A6D64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D97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服务项目</w:t>
            </w:r>
          </w:p>
        </w:tc>
        <w:tc>
          <w:tcPr>
            <w:tcW w:w="32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4E21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服务内容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907E5">
            <w:pPr>
              <w:bidi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20E43">
            <w:pPr>
              <w:bidi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数量</w:t>
            </w:r>
          </w:p>
        </w:tc>
      </w:tr>
      <w:tr w14:paraId="5113D2D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9C877"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硬件维护服务</w:t>
            </w:r>
          </w:p>
        </w:tc>
        <w:tc>
          <w:tcPr>
            <w:tcW w:w="32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E4F851"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包含服务器112台，存储及存储交换机17台，交换机44台，服务器防火墙3台，不间断电源设备3套、安全设备15套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A57880">
            <w:pPr>
              <w:bidi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CF9BB8">
            <w:pPr>
              <w:bidi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5EB81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CFF5D4"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软件及信息系统维护服务</w:t>
            </w:r>
          </w:p>
        </w:tc>
        <w:tc>
          <w:tcPr>
            <w:tcW w:w="322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B1BA"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操作系统、数据库系统、虚拟化平台维护、数据库迁移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A15C">
            <w:pPr>
              <w:bidi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81BD">
            <w:pPr>
              <w:bidi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A6BA3E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4D7899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准入系统扩容</w:t>
            </w:r>
          </w:p>
        </w:tc>
        <w:tc>
          <w:tcPr>
            <w:tcW w:w="322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AA89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提供不少于1000个终端的准入系统扩容服务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862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301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ED364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25395B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云主机深度安全防护服务</w:t>
            </w:r>
          </w:p>
        </w:tc>
        <w:tc>
          <w:tcPr>
            <w:tcW w:w="322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E6C40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提供不少于80个CPU的云主机深度安全防护服务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3D3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792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58D5D1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6E396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负载均衡设备</w:t>
            </w:r>
          </w:p>
        </w:tc>
        <w:tc>
          <w:tcPr>
            <w:tcW w:w="322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CE6A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bookmarkStart w:id="0" w:name="OLE_LINK1"/>
            <w:r>
              <w:rPr>
                <w:rFonts w:hint="eastAsia"/>
                <w:lang w:val="en-US" w:eastAsia="zh-CN"/>
              </w:rPr>
              <w:t>互联网上网的</w:t>
            </w:r>
            <w:bookmarkEnd w:id="0"/>
            <w:r>
              <w:rPr>
                <w:rFonts w:hint="eastAsia"/>
                <w:lang w:val="en-US" w:eastAsia="zh-CN"/>
              </w:rPr>
              <w:t>负载均衡设备，4层吞吐量≥10Gbps，四层并发连接数≥8000000，内存≥8G，硬盘容量≥128G SSD，冗余电源，配置≥4个千兆电口、≥2个千兆光口、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≥2个万兆光口，提供5年维保售后服务。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173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62C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9C2C01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EE314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全局流量管理</w:t>
            </w:r>
          </w:p>
          <w:p w14:paraId="29B6BBF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</w:t>
            </w:r>
          </w:p>
        </w:tc>
        <w:tc>
          <w:tcPr>
            <w:tcW w:w="322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A93DE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提供全局流量管理服务，支持多个IP负载均衡时进行异常隔离，以及主备容灾时备用切换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74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A93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C42C93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67" w:hRule="atLeast"/>
          <w:jc w:val="center"/>
        </w:trPr>
        <w:tc>
          <w:tcPr>
            <w:tcW w:w="102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5B47DE2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驻场人员</w:t>
            </w:r>
          </w:p>
        </w:tc>
        <w:tc>
          <w:tcPr>
            <w:tcW w:w="322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9A5E"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不少于1人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541B">
            <w:pPr>
              <w:bidi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位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5F12">
            <w:pPr>
              <w:bidi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</w:tbl>
    <w:p w14:paraId="0294B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77D11"/>
    <w:rsid w:val="0F1E116E"/>
    <w:rsid w:val="5FA77D11"/>
    <w:rsid w:val="67E4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广东分公司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2025-10-09T06:43:00Z</dcterms:created>
  <dc:creator>Administrator</dc:creator>
  <cp:lastModifiedBy>Administrator</cp:lastModifiedBy>
  <dcterms:modified xsi:type="dcterms:W3CDTF">2025-10-14T12:27:22Z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055CA51D9742498FB1DAD97D3184ADC7_11</vt:lpwstr>
  </property>
</Properties>
</file>