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04B69">
      <w:pPr>
        <w:snapToGrid w:val="0"/>
        <w:spacing w:line="240" w:lineRule="auto"/>
        <w:jc w:val="center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显微操作系统操作臂维修参数</w:t>
      </w:r>
    </w:p>
    <w:p w14:paraId="631D2C03">
      <w:pPr>
        <w:snapToGrid w:val="0"/>
        <w:spacing w:line="240" w:lineRule="auto"/>
        <w:rPr>
          <w:rFonts w:ascii="微软雅黑" w:hAnsi="微软雅黑" w:eastAsia="微软雅黑"/>
        </w:rPr>
      </w:pPr>
    </w:p>
    <w:p w14:paraId="1196C5BC">
      <w:pPr>
        <w:snapToGrid w:val="0"/>
        <w:spacing w:line="240" w:lineRule="auto"/>
        <w:rPr>
          <w:rFonts w:hint="eastAsia" w:ascii="微软雅黑" w:hAnsi="微软雅黑" w:eastAsia="微软雅黑"/>
          <w:lang w:val="en-US" w:eastAsia="zh-CN"/>
        </w:rPr>
      </w:pPr>
      <w:r>
        <w:rPr>
          <w:rFonts w:ascii="微软雅黑" w:hAnsi="微软雅黑" w:eastAsia="微软雅黑"/>
        </w:rPr>
        <w:t>一、项目</w:t>
      </w:r>
      <w:r>
        <w:rPr>
          <w:rFonts w:hint="eastAsia" w:ascii="微软雅黑" w:hAnsi="微软雅黑" w:eastAsia="微软雅黑"/>
          <w:lang w:val="en-US" w:eastAsia="zh-CN"/>
        </w:rPr>
        <w:t>内容</w:t>
      </w:r>
    </w:p>
    <w:p w14:paraId="25567D70">
      <w:pPr>
        <w:snapToGrid w:val="0"/>
        <w:spacing w:line="240" w:lineRule="auto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显微操作系统操作臂维修</w:t>
      </w:r>
      <w:r>
        <w:rPr>
          <w:rFonts w:hint="eastAsia" w:ascii="微软雅黑" w:hAnsi="微软雅黑" w:eastAsia="微软雅黑"/>
          <w:lang w:eastAsia="zh-CN"/>
        </w:rPr>
        <w:t>、</w:t>
      </w:r>
      <w:r>
        <w:rPr>
          <w:rFonts w:ascii="微软雅黑" w:hAnsi="微软雅黑" w:eastAsia="微软雅黑"/>
        </w:rPr>
        <w:t>显微操作仪油囊维修及配件更换服务</w:t>
      </w:r>
      <w:r>
        <w:rPr>
          <w:rFonts w:hint="eastAsia" w:ascii="微软雅黑" w:hAnsi="微软雅黑" w:eastAsia="微软雅黑"/>
          <w:lang w:eastAsia="zh-CN"/>
        </w:rPr>
        <w:t>。</w:t>
      </w:r>
    </w:p>
    <w:p w14:paraId="0216FAAC">
      <w:p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二、项目基本要求</w:t>
      </w:r>
    </w:p>
    <w:p w14:paraId="469B48D0">
      <w:pPr>
        <w:numPr>
          <w:ilvl w:val="0"/>
          <w:numId w:val="1"/>
        </w:num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维修对象为现有在用的显微操作仪（型号：Ti-s+NT-88-V3</w:t>
      </w:r>
      <w:r>
        <w:rPr>
          <w:rFonts w:ascii="微软雅黑" w:hAnsi="微软雅黑" w:eastAsia="微软雅黑"/>
        </w:rPr>
        <w:t>），需保持其原有性能和功能；</w:t>
      </w:r>
      <w:bookmarkStart w:id="0" w:name="_GoBack"/>
      <w:bookmarkEnd w:id="0"/>
    </w:p>
    <w:p w14:paraId="4E453379">
      <w:pPr>
        <w:numPr>
          <w:ilvl w:val="0"/>
          <w:numId w:val="1"/>
        </w:num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提供的维修配件须与原设备系统相容，保证稳定运行；</w:t>
      </w:r>
    </w:p>
    <w:p w14:paraId="727AF377">
      <w:pPr>
        <w:numPr>
          <w:ilvl w:val="0"/>
          <w:numId w:val="1"/>
        </w:num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维修完成后，显微操作仪须恢复正常操作精度和稳定性。</w:t>
      </w:r>
    </w:p>
    <w:p w14:paraId="71DB23EC">
      <w:p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三、主要技术参数</w:t>
      </w:r>
    </w:p>
    <w:p w14:paraId="7EFE1323">
      <w:pPr>
        <w:numPr>
          <w:ilvl w:val="0"/>
          <w:numId w:val="2"/>
        </w:num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传导方式：油压传导；</w:t>
      </w:r>
    </w:p>
    <w:p w14:paraId="74311009">
      <w:pPr>
        <w:numPr>
          <w:ilvl w:val="0"/>
          <w:numId w:val="2"/>
        </w:num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外壳直径：约 15 mm；</w:t>
      </w:r>
    </w:p>
    <w:p w14:paraId="19411FE2">
      <w:pPr>
        <w:numPr>
          <w:ilvl w:val="0"/>
          <w:numId w:val="2"/>
        </w:num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外壳长度：约 20 mm；</w:t>
      </w:r>
    </w:p>
    <w:p w14:paraId="7270E941">
      <w:pPr>
        <w:numPr>
          <w:ilvl w:val="0"/>
          <w:numId w:val="2"/>
        </w:num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管路长度：</w:t>
      </w:r>
      <w:r>
        <w:rPr>
          <w:rFonts w:hint="eastAsia" w:ascii="微软雅黑" w:hAnsi="微软雅黑" w:eastAsia="微软雅黑"/>
        </w:rPr>
        <w:t>大于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80</w:t>
      </w:r>
      <w:r>
        <w:rPr>
          <w:rFonts w:ascii="微软雅黑" w:hAnsi="微软雅黑" w:eastAsia="微软雅黑"/>
        </w:rPr>
        <w:t>cm；</w:t>
      </w:r>
    </w:p>
    <w:p w14:paraId="70B15FBE">
      <w:pPr>
        <w:numPr>
          <w:ilvl w:val="0"/>
          <w:numId w:val="2"/>
        </w:num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管路承压：不低于 </w:t>
      </w:r>
      <w:r>
        <w:rPr>
          <w:rFonts w:hint="eastAsia" w:ascii="微软雅黑" w:hAnsi="微软雅黑" w:eastAsia="微软雅黑"/>
        </w:rPr>
        <w:t>1</w:t>
      </w:r>
      <w:r>
        <w:rPr>
          <w:rFonts w:ascii="微软雅黑" w:hAnsi="微软雅黑" w:eastAsia="微软雅黑"/>
        </w:rPr>
        <w:t xml:space="preserve"> MPa；</w:t>
      </w:r>
    </w:p>
    <w:p w14:paraId="5FB2E2E6">
      <w:pPr>
        <w:numPr>
          <w:ilvl w:val="0"/>
          <w:numId w:val="2"/>
        </w:num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工作温度：20～40 ℃；</w:t>
      </w:r>
    </w:p>
    <w:p w14:paraId="6CB77A87">
      <w:pPr>
        <w:numPr>
          <w:ilvl w:val="0"/>
          <w:numId w:val="2"/>
        </w:num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适配性：维修后的配件与原系统兼容，不影响设备的正常功能；</w:t>
      </w:r>
    </w:p>
    <w:p w14:paraId="390BFE17">
      <w:pPr>
        <w:snapToGrid w:val="0"/>
        <w:spacing w:line="240" w:lineRule="auto"/>
        <w:rPr>
          <w:rFonts w:ascii="微软雅黑" w:hAnsi="微软雅黑" w:eastAsia="微软雅黑"/>
        </w:rPr>
      </w:pPr>
    </w:p>
    <w:p w14:paraId="1C1F8589">
      <w:p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四、服务与保障要求</w:t>
      </w:r>
    </w:p>
    <w:p w14:paraId="00528FB2">
      <w:pPr>
        <w:numPr>
          <w:ilvl w:val="0"/>
          <w:numId w:val="3"/>
        </w:num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提供完整的维修方案及操作记录，确保可追溯；</w:t>
      </w:r>
    </w:p>
    <w:p w14:paraId="7A5F589B">
      <w:pPr>
        <w:numPr>
          <w:ilvl w:val="0"/>
          <w:numId w:val="3"/>
        </w:num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维修完成后须进行功能测试，确保设备操作灵敏度与稳定性；</w:t>
      </w:r>
    </w:p>
    <w:p w14:paraId="36D73450">
      <w:pPr>
        <w:numPr>
          <w:ilvl w:val="0"/>
          <w:numId w:val="3"/>
        </w:num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提供维修后质保服务，质保期不少于 </w:t>
      </w:r>
      <w:r>
        <w:rPr>
          <w:rFonts w:hint="eastAsia" w:ascii="微软雅黑" w:hAnsi="微软雅黑" w:eastAsia="微软雅黑"/>
        </w:rPr>
        <w:t>12</w:t>
      </w:r>
      <w:r>
        <w:rPr>
          <w:rFonts w:ascii="微软雅黑" w:hAnsi="微软雅黑" w:eastAsia="微软雅黑"/>
        </w:rPr>
        <w:t>个月；</w:t>
      </w:r>
    </w:p>
    <w:p w14:paraId="78FEA877">
      <w:pPr>
        <w:numPr>
          <w:ilvl w:val="0"/>
          <w:numId w:val="3"/>
        </w:num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在质保期内若出现故障，需提供免费技术支持与上门维修服务；</w:t>
      </w:r>
    </w:p>
    <w:p w14:paraId="5C91E167">
      <w:pPr>
        <w:numPr>
          <w:ilvl w:val="0"/>
          <w:numId w:val="3"/>
        </w:numPr>
        <w:snapToGrid w:val="0"/>
        <w:spacing w:line="24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承诺提供长期技术支持及后续配件保障。</w:t>
      </w:r>
    </w:p>
    <w:p w14:paraId="252F8A2D">
      <w:pPr>
        <w:snapToGrid w:val="0"/>
        <w:spacing w:line="240" w:lineRule="auto"/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02DD8"/>
    <w:multiLevelType w:val="multilevel"/>
    <w:tmpl w:val="20B02DD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B165A9B"/>
    <w:multiLevelType w:val="multilevel"/>
    <w:tmpl w:val="4B165A9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1285C5E"/>
    <w:multiLevelType w:val="multilevel"/>
    <w:tmpl w:val="71285C5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CB"/>
    <w:rsid w:val="000653CB"/>
    <w:rsid w:val="00244441"/>
    <w:rsid w:val="00430F11"/>
    <w:rsid w:val="005B6426"/>
    <w:rsid w:val="00733055"/>
    <w:rsid w:val="00A16F6E"/>
    <w:rsid w:val="00BC59FC"/>
    <w:rsid w:val="0C5257B6"/>
    <w:rsid w:val="1901601B"/>
    <w:rsid w:val="22BB548D"/>
    <w:rsid w:val="416D79CA"/>
    <w:rsid w:val="5052092F"/>
    <w:rsid w:val="55450A62"/>
    <w:rsid w:val="5F7C1524"/>
    <w:rsid w:val="73F1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349</Characters>
  <Lines>2</Lines>
  <Paragraphs>1</Paragraphs>
  <TotalTime>2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2025-09-03T10:53:00Z</dcterms:created>
  <dc:creator>Lhdi</dc:creator>
  <cp:lastModifiedBy>陈健驹</cp:lastModifiedBy>
  <dcterms:modified xsi:type="dcterms:W3CDTF">2025-09-04T08:33:09Z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eyJoZGlkIjoiMmQ5ZmM4YmFmYzc5N2QyMmY4ZWUzYTBhNGQ0YjAwYTYiLCJ1c2VySWQiOiIzNDA4Nzk5NDQifQ==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65F9E8F717B640CDA1F6030C200D1C0B_12</vt:lpwstr>
  </property>
</Properties>
</file>