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2B5A">
      <w:pPr>
        <w:spacing w:line="220" w:lineRule="atLeast"/>
        <w:jc w:val="center"/>
        <w:rPr>
          <w:rFonts w:hint="eastAsia" w:ascii="微软雅黑" w:hAnsi="微软雅黑"/>
          <w:b/>
          <w:bCs/>
          <w:sz w:val="32"/>
          <w:szCs w:val="32"/>
        </w:rPr>
      </w:pPr>
      <w:r>
        <w:rPr>
          <w:rFonts w:ascii="微软雅黑" w:hAnsi="微软雅黑"/>
          <w:b/>
          <w:bCs/>
          <w:sz w:val="32"/>
          <w:szCs w:val="32"/>
        </w:rPr>
        <w:t>江门市中心医院医用直线加速器使用范围及配置要求</w:t>
      </w:r>
    </w:p>
    <w:p w14:paraId="003FD2FF">
      <w:pPr>
        <w:spacing w:before="240" w:beforeLines="100" w:line="360" w:lineRule="auto"/>
        <w:jc w:val="both"/>
        <w:rPr>
          <w:rFonts w:hint="eastAsia" w:ascii="微软雅黑" w:hAnsi="微软雅黑"/>
          <w:b/>
          <w:bCs/>
          <w:sz w:val="28"/>
          <w:szCs w:val="28"/>
        </w:rPr>
      </w:pPr>
      <w:r>
        <w:rPr>
          <w:rFonts w:hint="eastAsia" w:ascii="微软雅黑" w:hAnsi="微软雅黑"/>
          <w:b/>
          <w:bCs/>
          <w:sz w:val="28"/>
          <w:szCs w:val="28"/>
        </w:rPr>
        <w:t>一、</w:t>
      </w:r>
      <w:r>
        <w:rPr>
          <w:rFonts w:ascii="微软雅黑" w:hAnsi="微软雅黑"/>
          <w:b/>
          <w:bCs/>
          <w:sz w:val="28"/>
          <w:szCs w:val="28"/>
        </w:rPr>
        <w:t>使用范围</w:t>
      </w:r>
      <w:r>
        <w:rPr>
          <w:rFonts w:hint="eastAsia" w:ascii="微软雅黑" w:hAnsi="微软雅黑"/>
          <w:b/>
          <w:bCs/>
          <w:sz w:val="28"/>
          <w:szCs w:val="28"/>
        </w:rPr>
        <w:t>与功能描述</w:t>
      </w:r>
      <w:r>
        <w:rPr>
          <w:rFonts w:ascii="微软雅黑" w:hAnsi="微软雅黑"/>
          <w:b/>
          <w:bCs/>
          <w:sz w:val="28"/>
          <w:szCs w:val="28"/>
        </w:rPr>
        <w:t>：</w:t>
      </w:r>
    </w:p>
    <w:p w14:paraId="58C96F8F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用于开展当今主流常规及高精度放射治疗技术，如二维适形放疗</w:t>
      </w:r>
      <w:r>
        <w:rPr>
          <w:rFonts w:ascii="Times New Roman" w:hAnsi="Times New Roman" w:cs="Times New Roman" w:eastAsiaTheme="minorEastAsia"/>
          <w:sz w:val="28"/>
          <w:szCs w:val="28"/>
        </w:rPr>
        <w:t>（CRT）</w:t>
      </w:r>
      <w:r>
        <w:rPr>
          <w:rFonts w:hint="eastAsia" w:asciiTheme="minorEastAsia" w:hAnsiTheme="minorEastAsia" w:eastAsiaTheme="minorEastAsia"/>
          <w:sz w:val="28"/>
          <w:szCs w:val="28"/>
        </w:rPr>
        <w:t>、三维适形放射治疗</w:t>
      </w:r>
      <w:r>
        <w:rPr>
          <w:rFonts w:ascii="Times New Roman" w:hAnsi="Times New Roman" w:cs="Times New Roman" w:eastAsiaTheme="minorEastAsia"/>
          <w:sz w:val="28"/>
          <w:szCs w:val="28"/>
        </w:rPr>
        <w:t>（3D-CRT）</w:t>
      </w:r>
      <w:r>
        <w:rPr>
          <w:rFonts w:hint="eastAsia" w:asciiTheme="minorEastAsia" w:hAnsiTheme="minorEastAsia" w:eastAsiaTheme="minorEastAsia"/>
          <w:sz w:val="28"/>
          <w:szCs w:val="28"/>
        </w:rPr>
        <w:t>、适形调强放射治疗</w:t>
      </w:r>
      <w:r>
        <w:rPr>
          <w:rFonts w:ascii="Times New Roman" w:hAnsi="Times New Roman" w:cs="Times New Roman" w:eastAsiaTheme="minorEastAsia"/>
          <w:sz w:val="28"/>
          <w:szCs w:val="28"/>
        </w:rPr>
        <w:t>（IMRT）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容积调强放射治疗</w:t>
      </w:r>
      <w:r>
        <w:rPr>
          <w:rFonts w:ascii="Times New Roman" w:hAnsi="Times New Roman" w:cs="Times New Roman" w:eastAsiaTheme="minorEastAsia"/>
          <w:sz w:val="28"/>
          <w:szCs w:val="28"/>
        </w:rPr>
        <w:t>（VMAT）</w:t>
      </w:r>
      <w:r>
        <w:rPr>
          <w:rFonts w:hint="eastAsia" w:asciiTheme="minorEastAsia" w:hAnsiTheme="minorEastAsia" w:eastAsiaTheme="minorEastAsia"/>
          <w:sz w:val="28"/>
          <w:szCs w:val="28"/>
        </w:rPr>
        <w:t>、立体定向放射外科</w:t>
      </w:r>
      <w:r>
        <w:rPr>
          <w:rFonts w:ascii="Times New Roman" w:hAnsi="Times New Roman" w:cs="Times New Roman" w:eastAsiaTheme="minorEastAsia"/>
          <w:sz w:val="28"/>
          <w:szCs w:val="28"/>
        </w:rPr>
        <w:t>（SRS）</w:t>
      </w:r>
      <w:r>
        <w:rPr>
          <w:rFonts w:hint="eastAsia" w:asciiTheme="minorEastAsia" w:hAnsiTheme="minorEastAsia" w:eastAsiaTheme="minorEastAsia"/>
          <w:sz w:val="28"/>
          <w:szCs w:val="28"/>
        </w:rPr>
        <w:t>、立体定向放射治疗</w:t>
      </w:r>
      <w:r>
        <w:rPr>
          <w:rFonts w:ascii="Times New Roman" w:hAnsi="Times New Roman" w:cs="Times New Roman" w:eastAsiaTheme="minorEastAsia"/>
          <w:sz w:val="28"/>
          <w:szCs w:val="28"/>
        </w:rPr>
        <w:t>（SBRT）</w:t>
      </w:r>
      <w:r>
        <w:rPr>
          <w:rFonts w:hint="eastAsia" w:asciiTheme="minorEastAsia" w:hAnsiTheme="minorEastAsia" w:eastAsiaTheme="minorEastAsia"/>
          <w:sz w:val="28"/>
          <w:szCs w:val="28"/>
        </w:rPr>
        <w:t>、图像引导放射治疗</w:t>
      </w:r>
      <w:r>
        <w:rPr>
          <w:rFonts w:ascii="Times New Roman" w:hAnsi="Times New Roman" w:cs="Times New Roman" w:eastAsiaTheme="minorEastAsia"/>
          <w:sz w:val="28"/>
          <w:szCs w:val="28"/>
        </w:rPr>
        <w:t>（IGRT）</w:t>
      </w:r>
      <w:r>
        <w:rPr>
          <w:rFonts w:hint="eastAsia" w:asciiTheme="minorEastAsia" w:hAnsiTheme="minorEastAsia" w:eastAsiaTheme="minorEastAsia"/>
          <w:sz w:val="28"/>
          <w:szCs w:val="28"/>
        </w:rPr>
        <w:t>等。具备运动管理功能，可用于门控治疗。除用于常规共面照射外，治疗床应能等中心旋转≥±90度，以便开展非共面照射技术，满足临床使用需求。</w:t>
      </w:r>
    </w:p>
    <w:p w14:paraId="0FCB3121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除用于上述</w:t>
      </w:r>
      <w:r>
        <w:rPr>
          <w:rFonts w:ascii="Times New Roman" w:hAnsi="Times New Roman" w:cs="Times New Roman" w:eastAsiaTheme="minorEastAsia"/>
          <w:sz w:val="28"/>
          <w:szCs w:val="28"/>
        </w:rPr>
        <w:t>X</w:t>
      </w:r>
      <w:r>
        <w:rPr>
          <w:rFonts w:hint="eastAsia" w:asciiTheme="minorEastAsia" w:hAnsiTheme="minorEastAsia" w:eastAsiaTheme="minorEastAsia"/>
          <w:sz w:val="28"/>
          <w:szCs w:val="28"/>
        </w:rPr>
        <w:t>线治疗外，还能开展不少于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档电子线治疗，以满足浅表照射需要。</w:t>
      </w:r>
    </w:p>
    <w:p w14:paraId="2ABEB030"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直线加速器及其配套系统包含确保其正常运行的所有软硬件，包括但不限于医用电子直线加速器主机、原机自带匹配原厂放射治疗计划系统</w:t>
      </w:r>
      <w:r>
        <w:rPr>
          <w:rFonts w:ascii="Times New Roman" w:hAnsi="Times New Roman" w:cs="Times New Roman" w:eastAsiaTheme="minorEastAsia"/>
          <w:sz w:val="28"/>
          <w:szCs w:val="28"/>
        </w:rPr>
        <w:t>（TPS）、KV-CBCT、EPID、</w:t>
      </w:r>
      <w:r>
        <w:rPr>
          <w:rFonts w:hint="eastAsia" w:asciiTheme="minorEastAsia" w:hAnsiTheme="minorEastAsia" w:eastAsiaTheme="minorEastAsia"/>
          <w:sz w:val="28"/>
          <w:szCs w:val="28"/>
        </w:rPr>
        <w:t>内置自动化在线质控系统、医生工作站、物理师工作站、直线加速器日常质控设备及模体、呼吸门控系统、原厂六维治疗床（自动摆位）、立体定向放疗固定床板等。</w:t>
      </w:r>
    </w:p>
    <w:p w14:paraId="7079F49B">
      <w:pPr>
        <w:spacing w:line="220" w:lineRule="atLeast"/>
        <w:jc w:val="both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二、配置要求</w:t>
      </w:r>
      <w:bookmarkEnd w:id="0"/>
      <w:r>
        <w:rPr>
          <w:rFonts w:hint="eastAsia"/>
          <w:sz w:val="28"/>
          <w:szCs w:val="28"/>
        </w:rPr>
        <w:t>：以下各配置要求均需要严格符合行内标准，具备的治疗技术应在其NMPA注册证适用范围之内明确注明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96"/>
      </w:tblGrid>
      <w:tr w14:paraId="1EDE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1A9CFFA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7796" w:type="dxa"/>
            <w:vAlign w:val="center"/>
          </w:tcPr>
          <w:p w14:paraId="3A9C726D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配置要求</w:t>
            </w:r>
          </w:p>
        </w:tc>
      </w:tr>
      <w:tr w14:paraId="2033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CBF8EB6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14:paraId="3BD2C744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数字化医用直线加速器主机1套</w:t>
            </w:r>
          </w:p>
        </w:tc>
      </w:tr>
      <w:tr w14:paraId="6AD2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AEFD7FA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14:paraId="0E3D903A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自动摆位六维治疗床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</w:t>
            </w:r>
          </w:p>
        </w:tc>
      </w:tr>
      <w:tr w14:paraId="3E56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2DD9415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14:paraId="7986AAE3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配备常规及高精度放射外科的专用床板</w:t>
            </w:r>
          </w:p>
        </w:tc>
      </w:tr>
      <w:tr w14:paraId="597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343F21B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00ABCA2F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具备非共面照射功能</w:t>
            </w:r>
          </w:p>
        </w:tc>
      </w:tr>
      <w:tr w14:paraId="42BF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DCDF231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14:paraId="10D12682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具备常规均整的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6MV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和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10MV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两档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X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射线</w:t>
            </w:r>
          </w:p>
        </w:tc>
      </w:tr>
      <w:tr w14:paraId="64C4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4A94EC9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14:paraId="5E405334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具备无均整的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6MV（FFF）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和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10MV（FFF）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两档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X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射线</w:t>
            </w:r>
          </w:p>
        </w:tc>
      </w:tr>
      <w:tr w14:paraId="5C7F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EA2E144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14:paraId="79A8D1A7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具备剂量监测系统，实时监测射线纵向及横向对称性及剂量稳定性</w:t>
            </w:r>
          </w:p>
        </w:tc>
      </w:tr>
      <w:tr w14:paraId="0DF8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5876F11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14:paraId="27BCB858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具备≥3档不同能量的电子线，及≥3个配套限光筒</w:t>
            </w:r>
          </w:p>
        </w:tc>
      </w:tr>
      <w:tr w14:paraId="46B0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B1C0C00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14:paraId="1E0526DB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具备二维适形、三维适形放疗功能</w:t>
            </w:r>
          </w:p>
        </w:tc>
      </w:tr>
      <w:tr w14:paraId="5BF6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7811D38C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7796" w:type="dxa"/>
            <w:vAlign w:val="center"/>
          </w:tcPr>
          <w:p w14:paraId="5EED983F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具备静态调强放疗功能</w:t>
            </w:r>
          </w:p>
        </w:tc>
      </w:tr>
      <w:tr w14:paraId="223B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AF66BC3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7796" w:type="dxa"/>
            <w:vAlign w:val="center"/>
          </w:tcPr>
          <w:p w14:paraId="7A90DB59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动态调强放疗功能</w:t>
            </w:r>
          </w:p>
        </w:tc>
      </w:tr>
      <w:tr w14:paraId="276B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CEA8112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7796" w:type="dxa"/>
            <w:vAlign w:val="center"/>
          </w:tcPr>
          <w:p w14:paraId="7B668792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具备容积旋转调强放疗功能，机架旋转速度、照射野形状、剂量率均可连续动态变化</w:t>
            </w:r>
          </w:p>
        </w:tc>
      </w:tr>
      <w:tr w14:paraId="5F5E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B4FC12A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7796" w:type="dxa"/>
            <w:vAlign w:val="center"/>
          </w:tcPr>
          <w:p w14:paraId="1DB261CB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具备立体定向放射治疗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（SBRT）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功能</w:t>
            </w:r>
          </w:p>
        </w:tc>
      </w:tr>
      <w:tr w14:paraId="6C08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724758C9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7796" w:type="dxa"/>
            <w:vAlign w:val="center"/>
          </w:tcPr>
          <w:p w14:paraId="362607DD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具备运动管理系统，支持门控放疗功能（所有接口免费）</w:t>
            </w:r>
          </w:p>
        </w:tc>
      </w:tr>
      <w:tr w14:paraId="3C37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B0BD1C9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7796" w:type="dxa"/>
            <w:vAlign w:val="center"/>
          </w:tcPr>
          <w:p w14:paraId="2F7BD214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具备高精度动态放射外科功能</w:t>
            </w:r>
          </w:p>
        </w:tc>
      </w:tr>
      <w:tr w14:paraId="3198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9563F7A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</w:t>
            </w:r>
          </w:p>
        </w:tc>
        <w:tc>
          <w:tcPr>
            <w:tcW w:w="7796" w:type="dxa"/>
            <w:vAlign w:val="center"/>
          </w:tcPr>
          <w:p w14:paraId="6CCDE35D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具备多叶准直系统</w:t>
            </w:r>
          </w:p>
        </w:tc>
      </w:tr>
      <w:tr w14:paraId="2B25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DF05274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</w:t>
            </w:r>
          </w:p>
        </w:tc>
        <w:tc>
          <w:tcPr>
            <w:tcW w:w="7796" w:type="dxa"/>
            <w:vAlign w:val="center"/>
          </w:tcPr>
          <w:p w14:paraId="4797F1D3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KV-KV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图像引导系统，实现KV图像与计划CT图像配准功能</w:t>
            </w:r>
          </w:p>
        </w:tc>
      </w:tr>
      <w:tr w14:paraId="0BB6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45E3495C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19</w:t>
            </w:r>
          </w:p>
        </w:tc>
        <w:tc>
          <w:tcPr>
            <w:tcW w:w="7796" w:type="dxa"/>
            <w:vAlign w:val="center"/>
          </w:tcPr>
          <w:p w14:paraId="3B822AF5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具备常规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CBCT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4D CBCT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图像引导系统，实现CBCT图像与计划CT图像配准功能</w:t>
            </w:r>
          </w:p>
        </w:tc>
      </w:tr>
      <w:tr w14:paraId="1563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957E348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7796" w:type="dxa"/>
            <w:vAlign w:val="center"/>
          </w:tcPr>
          <w:p w14:paraId="5BB6F861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具备电子射野影像系统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（EPID）</w:t>
            </w:r>
          </w:p>
        </w:tc>
      </w:tr>
      <w:tr w14:paraId="7DC9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3B4E89B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21</w:t>
            </w:r>
          </w:p>
        </w:tc>
        <w:tc>
          <w:tcPr>
            <w:tcW w:w="7796" w:type="dxa"/>
            <w:vAlign w:val="center"/>
          </w:tcPr>
          <w:p w14:paraId="6E4C3CE6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具备机载计划验证系统全套软硬件、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Licence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及分析、比对、记录系统</w:t>
            </w:r>
          </w:p>
        </w:tc>
      </w:tr>
      <w:tr w14:paraId="2FC9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D787861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22</w:t>
            </w:r>
          </w:p>
        </w:tc>
        <w:tc>
          <w:tcPr>
            <w:tcW w:w="7796" w:type="dxa"/>
            <w:vAlign w:val="center"/>
          </w:tcPr>
          <w:p w14:paraId="01AEF3BD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具备原厂配套放疗治疗计划系统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（TPS）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，并支持设计优化各种电子线、适形、正向及逆向调强、容积调强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、SRS、SBRT、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空间分割放疗、共面及非共面、均整射线及无均整射线放疗计划</w:t>
            </w:r>
          </w:p>
        </w:tc>
      </w:tr>
      <w:tr w14:paraId="2D94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88CEA4B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23</w:t>
            </w:r>
          </w:p>
        </w:tc>
        <w:tc>
          <w:tcPr>
            <w:tcW w:w="7796" w:type="dxa"/>
            <w:vAlign w:val="center"/>
          </w:tcPr>
          <w:p w14:paraId="31052620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同品牌物理师工作站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≥4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套（包括所有主机和显示器等软硬件，所有软硬件必须均为原厂产品）</w:t>
            </w:r>
          </w:p>
        </w:tc>
      </w:tr>
      <w:tr w14:paraId="71A8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FA07620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7796" w:type="dxa"/>
            <w:vAlign w:val="center"/>
          </w:tcPr>
          <w:p w14:paraId="39E06C50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同品牌医生工作站</w:t>
            </w:r>
            <w:r>
              <w:rPr>
                <w:rFonts w:cs="Tahoma" w:eastAsiaTheme="minorEastAsia"/>
                <w:sz w:val="28"/>
                <w:szCs w:val="28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8套（包括所有主机和显示器等软硬件，所有软硬件必须均为原厂产品）</w:t>
            </w:r>
          </w:p>
        </w:tc>
      </w:tr>
      <w:tr w14:paraId="07C0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5F5D017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25</w:t>
            </w:r>
          </w:p>
        </w:tc>
        <w:tc>
          <w:tcPr>
            <w:tcW w:w="7796" w:type="dxa"/>
            <w:vAlign w:val="center"/>
          </w:tcPr>
          <w:p w14:paraId="523CF645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具备影像导入、图像配准（应支持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CT、MRI、CBCT、PET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等之间的刚性及形变配准）、支持多模态影像勾画、支持4D影像数据处理如生成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4D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影像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、MIP、AIP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等图像功能</w:t>
            </w:r>
          </w:p>
        </w:tc>
      </w:tr>
      <w:tr w14:paraId="6D46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78678632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7796" w:type="dxa"/>
            <w:vAlign w:val="center"/>
          </w:tcPr>
          <w:p w14:paraId="36942B18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具备加速器在线快速质控系统</w:t>
            </w:r>
          </w:p>
        </w:tc>
      </w:tr>
      <w:tr w14:paraId="6DD6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2678048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27</w:t>
            </w:r>
          </w:p>
        </w:tc>
        <w:tc>
          <w:tcPr>
            <w:tcW w:w="7796" w:type="dxa"/>
            <w:vAlign w:val="center"/>
          </w:tcPr>
          <w:p w14:paraId="47B109EC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具备配套同品牌放疗信息网络系统</w:t>
            </w:r>
          </w:p>
        </w:tc>
      </w:tr>
      <w:tr w14:paraId="522C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6062123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7796" w:type="dxa"/>
            <w:vAlign w:val="center"/>
          </w:tcPr>
          <w:p w14:paraId="44322118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具备计划评估系统，具备对放疗剂量逐层、点剂量评估和根据DVH评估，及对多个计划叠加评估等功能。</w:t>
            </w:r>
          </w:p>
        </w:tc>
      </w:tr>
      <w:tr w14:paraId="3965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0C5F0288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29</w:t>
            </w:r>
          </w:p>
        </w:tc>
        <w:tc>
          <w:tcPr>
            <w:tcW w:w="7796" w:type="dxa"/>
            <w:vAlign w:val="center"/>
          </w:tcPr>
          <w:p w14:paraId="33F0D69A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具备防碰撞安全连锁功能</w:t>
            </w:r>
          </w:p>
        </w:tc>
      </w:tr>
      <w:tr w14:paraId="1320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09967110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7796" w:type="dxa"/>
            <w:vAlign w:val="center"/>
          </w:tcPr>
          <w:p w14:paraId="6B7C1AE6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具备屏蔽门联锁及出束状态指示灯功能</w:t>
            </w:r>
          </w:p>
        </w:tc>
      </w:tr>
      <w:tr w14:paraId="1F64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BFA5FBE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31</w:t>
            </w:r>
          </w:p>
        </w:tc>
        <w:tc>
          <w:tcPr>
            <w:tcW w:w="7796" w:type="dxa"/>
            <w:vAlign w:val="center"/>
          </w:tcPr>
          <w:p w14:paraId="7F37EBF6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具备极强的可扩展性，加速器及其配套部件所有接口免费开放，方便与医院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HIS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、信息化系统及其他第三方软、硬件连接</w:t>
            </w:r>
          </w:p>
        </w:tc>
      </w:tr>
      <w:tr w14:paraId="6E4D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59C65F4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32</w:t>
            </w:r>
          </w:p>
        </w:tc>
        <w:tc>
          <w:tcPr>
            <w:tcW w:w="7796" w:type="dxa"/>
            <w:vAlign w:val="center"/>
          </w:tcPr>
          <w:p w14:paraId="3C003063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具备数字化故障码报错功能，方便快速定位加速器故障所在</w:t>
            </w:r>
          </w:p>
        </w:tc>
      </w:tr>
      <w:tr w14:paraId="15A3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CB656F2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1A324594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sz w:val="28"/>
                <w:szCs w:val="28"/>
              </w:rPr>
              <w:t>配套设备及附件</w:t>
            </w:r>
          </w:p>
        </w:tc>
      </w:tr>
      <w:tr w14:paraId="0D02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4DB0A4C6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14:paraId="0CAE125B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稳压电源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台</w:t>
            </w:r>
          </w:p>
        </w:tc>
      </w:tr>
      <w:tr w14:paraId="09C2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414D4660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14:paraId="4C91A060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水冷机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台</w:t>
            </w:r>
          </w:p>
        </w:tc>
      </w:tr>
      <w:tr w14:paraId="069C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7ED09CA4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14:paraId="24164D32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激光定位系统1套</w:t>
            </w:r>
          </w:p>
        </w:tc>
      </w:tr>
      <w:tr w14:paraId="5037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1DD1314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14:paraId="0931A296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实时低延迟全角度视听监控系统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1套</w:t>
            </w:r>
          </w:p>
        </w:tc>
      </w:tr>
      <w:tr w14:paraId="37F9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5C657480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3B333EB2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控制系统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UPS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电源1套</w:t>
            </w:r>
          </w:p>
        </w:tc>
      </w:tr>
      <w:tr w14:paraId="0B91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B7E5826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14:paraId="6908A43C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辐射防护及监测系统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 xml:space="preserve">   1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套</w:t>
            </w:r>
          </w:p>
        </w:tc>
      </w:tr>
      <w:tr w14:paraId="5645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97B689A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14:paraId="3E68D1CF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维修工具1套</w:t>
            </w:r>
          </w:p>
        </w:tc>
      </w:tr>
      <w:tr w14:paraId="598F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4D165FCC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14:paraId="6E65FC5C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测量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KV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和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MV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中心一致性模体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 xml:space="preserve">  1套</w:t>
            </w:r>
          </w:p>
        </w:tc>
      </w:tr>
      <w:tr w14:paraId="754D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66CF9B2B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14:paraId="4580B283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用于测量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CBCT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图像对比度、空间分辨率和均匀性的模体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1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>套</w:t>
            </w:r>
          </w:p>
        </w:tc>
      </w:tr>
      <w:tr w14:paraId="05EB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2C2BB86D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14:paraId="244F0125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用于测量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kV</w:t>
            </w: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成像系统的空间分辨率和对比度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>的模体 1套</w:t>
            </w:r>
          </w:p>
        </w:tc>
      </w:tr>
      <w:tr w14:paraId="0A10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3DD454FF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14:paraId="15CD8FC2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测量MV对比度模体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1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>套</w:t>
            </w:r>
          </w:p>
        </w:tc>
      </w:tr>
      <w:tr w14:paraId="3E92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408E238D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7796" w:type="dxa"/>
            <w:vAlign w:val="center"/>
          </w:tcPr>
          <w:p w14:paraId="27F6B536">
            <w:pPr>
              <w:spacing w:after="0" w:line="360" w:lineRule="auto"/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Calibri" w:asciiTheme="minorEastAsia" w:hAnsiTheme="minorEastAsia" w:eastAsiaTheme="minorEastAsia"/>
                <w:sz w:val="28"/>
                <w:szCs w:val="28"/>
              </w:rPr>
              <w:t>测量影像几何尺寸参数模体</w:t>
            </w:r>
            <w:r>
              <w:rPr>
                <w:rFonts w:hint="eastAsia" w:cs="Calibri" w:asciiTheme="minorEastAsia" w:hAnsiTheme="minorEastAsia" w:eastAsiaTheme="minorEastAsia"/>
                <w:sz w:val="28"/>
                <w:szCs w:val="28"/>
              </w:rPr>
              <w:t xml:space="preserve"> 1套</w:t>
            </w:r>
          </w:p>
        </w:tc>
      </w:tr>
      <w:tr w14:paraId="62C3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19798AD9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7796" w:type="dxa"/>
            <w:vAlign w:val="center"/>
          </w:tcPr>
          <w:p w14:paraId="66D05E6D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加速器全套说明书及培训文件（纸质及电子版）</w:t>
            </w:r>
          </w:p>
        </w:tc>
      </w:tr>
      <w:tr w14:paraId="2AB2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17" w:type="dxa"/>
            <w:vAlign w:val="center"/>
          </w:tcPr>
          <w:p w14:paraId="7F2987E2">
            <w:pPr>
              <w:spacing w:after="0"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7796" w:type="dxa"/>
            <w:vAlign w:val="center"/>
          </w:tcPr>
          <w:p w14:paraId="774EF24B">
            <w:pPr>
              <w:spacing w:after="0" w:line="360" w:lineRule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其他加速器日常质控工具及模体</w:t>
            </w:r>
          </w:p>
        </w:tc>
      </w:tr>
    </w:tbl>
    <w:p w14:paraId="4B53734C">
      <w:pPr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p w14:paraId="5B7AFB88">
      <w:pPr>
        <w:spacing w:line="360" w:lineRule="auto"/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050D"/>
    <w:rsid w:val="000538E5"/>
    <w:rsid w:val="00056504"/>
    <w:rsid w:val="00060174"/>
    <w:rsid w:val="000A68CF"/>
    <w:rsid w:val="001145FF"/>
    <w:rsid w:val="001404F2"/>
    <w:rsid w:val="00155B0D"/>
    <w:rsid w:val="001602AB"/>
    <w:rsid w:val="00161759"/>
    <w:rsid w:val="00166A7A"/>
    <w:rsid w:val="001B16A7"/>
    <w:rsid w:val="001E5E58"/>
    <w:rsid w:val="002D0E86"/>
    <w:rsid w:val="002E69AF"/>
    <w:rsid w:val="00314F3E"/>
    <w:rsid w:val="00315E37"/>
    <w:rsid w:val="00323B43"/>
    <w:rsid w:val="00372753"/>
    <w:rsid w:val="003C23A1"/>
    <w:rsid w:val="003D37D8"/>
    <w:rsid w:val="003D39DB"/>
    <w:rsid w:val="003E64E8"/>
    <w:rsid w:val="003E7B4A"/>
    <w:rsid w:val="003F1ABD"/>
    <w:rsid w:val="003F38F5"/>
    <w:rsid w:val="00426133"/>
    <w:rsid w:val="004358AB"/>
    <w:rsid w:val="0044382D"/>
    <w:rsid w:val="004A345E"/>
    <w:rsid w:val="004A59D6"/>
    <w:rsid w:val="004D5DC7"/>
    <w:rsid w:val="004F7AFB"/>
    <w:rsid w:val="005105ED"/>
    <w:rsid w:val="005178F6"/>
    <w:rsid w:val="00527357"/>
    <w:rsid w:val="00612E8A"/>
    <w:rsid w:val="00617F51"/>
    <w:rsid w:val="00681451"/>
    <w:rsid w:val="006D1267"/>
    <w:rsid w:val="006D6CB4"/>
    <w:rsid w:val="006F64F9"/>
    <w:rsid w:val="00720625"/>
    <w:rsid w:val="00723CC1"/>
    <w:rsid w:val="007256D0"/>
    <w:rsid w:val="00734480"/>
    <w:rsid w:val="007D75AC"/>
    <w:rsid w:val="007E20C1"/>
    <w:rsid w:val="00832416"/>
    <w:rsid w:val="00856FFC"/>
    <w:rsid w:val="00866693"/>
    <w:rsid w:val="008A45CA"/>
    <w:rsid w:val="008B7726"/>
    <w:rsid w:val="009142F1"/>
    <w:rsid w:val="0092656D"/>
    <w:rsid w:val="00960F61"/>
    <w:rsid w:val="009809A6"/>
    <w:rsid w:val="009B3891"/>
    <w:rsid w:val="009C048C"/>
    <w:rsid w:val="00A1544C"/>
    <w:rsid w:val="00A31199"/>
    <w:rsid w:val="00A36966"/>
    <w:rsid w:val="00A83062"/>
    <w:rsid w:val="00AA5B3E"/>
    <w:rsid w:val="00AB00FB"/>
    <w:rsid w:val="00AB77DF"/>
    <w:rsid w:val="00AD7ED9"/>
    <w:rsid w:val="00B21EDB"/>
    <w:rsid w:val="00B52EA4"/>
    <w:rsid w:val="00B70B17"/>
    <w:rsid w:val="00BB18B9"/>
    <w:rsid w:val="00BB74E3"/>
    <w:rsid w:val="00C37C81"/>
    <w:rsid w:val="00C87827"/>
    <w:rsid w:val="00CC4E9C"/>
    <w:rsid w:val="00CD3EE3"/>
    <w:rsid w:val="00D06513"/>
    <w:rsid w:val="00D13B5A"/>
    <w:rsid w:val="00D31D50"/>
    <w:rsid w:val="00D34ABD"/>
    <w:rsid w:val="00D53D9E"/>
    <w:rsid w:val="00D71CD9"/>
    <w:rsid w:val="00D86C04"/>
    <w:rsid w:val="00D950DE"/>
    <w:rsid w:val="00DE61DF"/>
    <w:rsid w:val="00E96F33"/>
    <w:rsid w:val="00EA7747"/>
    <w:rsid w:val="00EB70B0"/>
    <w:rsid w:val="00EE4595"/>
    <w:rsid w:val="00F12A87"/>
    <w:rsid w:val="00F554F3"/>
    <w:rsid w:val="00FA30C4"/>
    <w:rsid w:val="053363DA"/>
    <w:rsid w:val="49C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1448</Words>
  <Characters>1590</Characters>
  <Lines>77</Lines>
  <Paragraphs>105</Paragraphs>
  <TotalTime>327</TotalTime>
  <ScaleCrop>false</ScaleCrop>
  <LinksUpToDate>false</LinksUpToDate>
  <CharactersWithSpaces>1602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zyx. jojo</cp:lastModifiedBy>
  <dcterms:modified xsi:type="dcterms:W3CDTF">2025-08-05T03:24:25Z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eyJoZGlkIjoiNTZiNDNhNWY5ZTZmNjc3NGNiMTIwMTFjYTkzYTA4NmEiLCJ1c2VySWQiOiI0NTUzMTI5NTYifQ==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E94F8CFD502C4498A6B56B6478573232_12</vt:lpwstr>
  </property>
</Properties>
</file>