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7015" w14:textId="4E532E79" w:rsidR="00CB2B4E" w:rsidRPr="00CB2B4E" w:rsidRDefault="00CB2B4E" w:rsidP="008452C8">
      <w:pPr>
        <w:jc w:val="center"/>
        <w:rPr>
          <w:rFonts w:ascii="仿宋" w:eastAsia="仿宋" w:hAnsi="仿宋"/>
          <w:sz w:val="24"/>
          <w:szCs w:val="24"/>
        </w:rPr>
      </w:pPr>
      <w:r w:rsidRPr="00CB2B4E">
        <w:rPr>
          <w:rFonts w:hint="eastAsia"/>
          <w:b/>
          <w:bCs/>
        </w:rPr>
        <w:t>商业健康险就医一站式结算平台</w:t>
      </w:r>
      <w:r w:rsidRPr="00CB2B4E">
        <w:rPr>
          <w:rFonts w:hint="eastAsia"/>
          <w:b/>
          <w:bCs/>
        </w:rPr>
        <w:br/>
      </w:r>
    </w:p>
    <w:p w14:paraId="31A9D5D5" w14:textId="429C4827" w:rsidR="00CB2B4E" w:rsidRPr="00CB2B4E" w:rsidRDefault="008452C8" w:rsidP="00CB2B4E">
      <w:pPr>
        <w:ind w:firstLineChars="200" w:firstLine="480"/>
        <w:jc w:val="left"/>
        <w:rPr>
          <w:rFonts w:ascii="仿宋" w:eastAsia="仿宋" w:hAnsi="仿宋"/>
          <w:sz w:val="24"/>
          <w:szCs w:val="24"/>
        </w:rPr>
      </w:pPr>
      <w:r>
        <w:rPr>
          <w:rFonts w:ascii="仿宋" w:eastAsia="仿宋" w:hAnsi="仿宋" w:hint="eastAsia"/>
          <w:sz w:val="24"/>
          <w:szCs w:val="24"/>
        </w:rPr>
        <w:t>一</w:t>
      </w:r>
      <w:r w:rsidR="00CB2B4E" w:rsidRPr="00CB2B4E">
        <w:rPr>
          <w:rFonts w:ascii="仿宋" w:eastAsia="仿宋" w:hAnsi="仿宋" w:hint="eastAsia"/>
          <w:sz w:val="24"/>
          <w:szCs w:val="24"/>
        </w:rPr>
        <w:t>、建设目标</w:t>
      </w:r>
    </w:p>
    <w:p w14:paraId="5B7D1E20" w14:textId="77777777" w:rsidR="00CB2B4E" w:rsidRPr="00CB2B4E" w:rsidRDefault="00CB2B4E" w:rsidP="00CB2B4E">
      <w:pPr>
        <w:ind w:firstLineChars="200" w:firstLine="480"/>
        <w:jc w:val="left"/>
        <w:rPr>
          <w:rFonts w:ascii="仿宋" w:eastAsia="仿宋" w:hAnsi="仿宋"/>
          <w:sz w:val="24"/>
          <w:szCs w:val="24"/>
        </w:rPr>
      </w:pPr>
      <w:r w:rsidRPr="00CB2B4E">
        <w:rPr>
          <w:rFonts w:ascii="仿宋" w:eastAsia="仿宋" w:hAnsi="仿宋" w:hint="eastAsia"/>
          <w:sz w:val="24"/>
          <w:szCs w:val="24"/>
        </w:rPr>
        <w:t>在充分遵守国家有关法律、法规的前提下，在用户授权并保障数据安全与隐私的前提下，运用大数据，人工智能等技术，建设商业健康险就医一站式结算平台（以下简称：商保平台）实现商业保险机构与医疗机构的数据互联互通和信息共享，解决传统模式下商保用户线下复印提交单证，保险公司人工录入审核的“理赔难”、“手续繁”、“报销慢"的痛点问题,实现商业健康险线上无纸化、一站式自动化实时结算，提高商保患者理赔效率，满足患者便捷高效就医需求，改善患者理赔体验，提高患者就医满意度，提升“互联网＋便民惠民”服务能力。</w:t>
      </w:r>
    </w:p>
    <w:p w14:paraId="69F991FB" w14:textId="37951D78" w:rsidR="00CB2B4E" w:rsidRPr="00CB2B4E" w:rsidRDefault="008452C8" w:rsidP="00CB2B4E">
      <w:pPr>
        <w:ind w:firstLineChars="200" w:firstLine="480"/>
        <w:jc w:val="left"/>
        <w:rPr>
          <w:rFonts w:ascii="仿宋" w:eastAsia="仿宋" w:hAnsi="仿宋"/>
          <w:sz w:val="24"/>
          <w:szCs w:val="24"/>
        </w:rPr>
      </w:pPr>
      <w:r>
        <w:rPr>
          <w:rFonts w:ascii="仿宋" w:eastAsia="仿宋" w:hAnsi="仿宋" w:hint="eastAsia"/>
          <w:sz w:val="24"/>
          <w:szCs w:val="24"/>
        </w:rPr>
        <w:t>二</w:t>
      </w:r>
      <w:r w:rsidR="00CB2B4E" w:rsidRPr="00CB2B4E">
        <w:rPr>
          <w:rFonts w:ascii="仿宋" w:eastAsia="仿宋" w:hAnsi="仿宋" w:hint="eastAsia"/>
          <w:sz w:val="24"/>
          <w:szCs w:val="24"/>
        </w:rPr>
        <w:t>、</w:t>
      </w:r>
      <w:r>
        <w:rPr>
          <w:rFonts w:ascii="仿宋" w:eastAsia="仿宋" w:hAnsi="仿宋" w:hint="eastAsia"/>
          <w:sz w:val="24"/>
          <w:szCs w:val="24"/>
        </w:rPr>
        <w:t>系统免费维护期</w:t>
      </w:r>
      <w:r w:rsidR="00CB2B4E" w:rsidRPr="00CB2B4E">
        <w:rPr>
          <w:rFonts w:ascii="仿宋" w:eastAsia="仿宋" w:hAnsi="仿宋" w:hint="eastAsia"/>
          <w:sz w:val="24"/>
          <w:szCs w:val="24"/>
        </w:rPr>
        <w:t>：</w:t>
      </w:r>
    </w:p>
    <w:p w14:paraId="5DAB2DD4" w14:textId="26623AA7" w:rsidR="00CB2B4E" w:rsidRDefault="00CB2B4E" w:rsidP="00CB2B4E">
      <w:pPr>
        <w:ind w:firstLineChars="200" w:firstLine="480"/>
        <w:jc w:val="left"/>
        <w:rPr>
          <w:rFonts w:ascii="仿宋" w:eastAsia="仿宋" w:hAnsi="仿宋"/>
          <w:sz w:val="24"/>
          <w:szCs w:val="24"/>
        </w:rPr>
      </w:pPr>
      <w:r w:rsidRPr="00CB2B4E">
        <w:rPr>
          <w:rFonts w:ascii="仿宋" w:eastAsia="仿宋" w:hAnsi="仿宋" w:hint="eastAsia"/>
          <w:sz w:val="24"/>
          <w:szCs w:val="24"/>
        </w:rPr>
        <w:t>自合同签订之日起五年。</w:t>
      </w:r>
    </w:p>
    <w:p w14:paraId="03062E92" w14:textId="67EFA889" w:rsidR="00CB2B4E" w:rsidRDefault="00CB2B4E" w:rsidP="00CB2B4E">
      <w:pPr>
        <w:jc w:val="left"/>
        <w:rPr>
          <w:rFonts w:ascii="仿宋" w:eastAsia="仿宋" w:hAnsi="仿宋"/>
          <w:sz w:val="24"/>
          <w:szCs w:val="24"/>
        </w:rPr>
      </w:pPr>
      <w:r>
        <w:rPr>
          <w:rFonts w:ascii="仿宋" w:eastAsia="仿宋" w:hAnsi="仿宋" w:hint="eastAsia"/>
          <w:sz w:val="24"/>
          <w:szCs w:val="24"/>
        </w:rPr>
        <w:t xml:space="preserve">    </w:t>
      </w:r>
      <w:r w:rsidR="008452C8">
        <w:rPr>
          <w:rFonts w:ascii="仿宋" w:eastAsia="仿宋" w:hAnsi="仿宋" w:hint="eastAsia"/>
          <w:sz w:val="24"/>
          <w:szCs w:val="24"/>
        </w:rPr>
        <w:t>三</w:t>
      </w:r>
      <w:r>
        <w:rPr>
          <w:rFonts w:ascii="仿宋" w:eastAsia="仿宋" w:hAnsi="仿宋" w:hint="eastAsia"/>
          <w:sz w:val="24"/>
          <w:szCs w:val="24"/>
        </w:rPr>
        <w:t>、项目需求</w:t>
      </w:r>
    </w:p>
    <w:p w14:paraId="7BBB27BE" w14:textId="19D6BA06" w:rsidR="00CB2B4E" w:rsidRPr="00CB2B4E" w:rsidRDefault="00CB2B4E" w:rsidP="00CB2B4E">
      <w:pPr>
        <w:ind w:firstLineChars="200" w:firstLine="480"/>
        <w:jc w:val="left"/>
        <w:rPr>
          <w:rFonts w:ascii="仿宋" w:eastAsia="仿宋" w:hAnsi="仿宋"/>
          <w:sz w:val="24"/>
          <w:szCs w:val="24"/>
        </w:rPr>
      </w:pPr>
      <w:r w:rsidRPr="00CB2B4E">
        <w:rPr>
          <w:rFonts w:ascii="仿宋" w:eastAsia="仿宋" w:hAnsi="仿宋" w:hint="eastAsia"/>
          <w:sz w:val="24"/>
          <w:szCs w:val="24"/>
        </w:rPr>
        <w:t>传统模式下，商保患者需要在医院垫付理赔费用，事后收集病历单证资料，提交保险公司等待审核报销。保险公司需要人工录入审核，审核通过再给患者打款报销。患者从就诊结束到拿到理赔款需要等待数日至数月不等。商保平台功能可实现：只需2步，即可让患者享受到“零单证、零跑腿、零等待、零垫资”的“四零”服务。患者只需于就诊期间，在手机上提出理赔申请，进行数据授权，诊疗结束费用结算时，商保平台进行实时的数据采集与处理，对患者本次的诊疗费用进行判责与理算，如果符合理赔条件，患者只需支付总费用扣除医保+商保报销后的自付金额即可。</w:t>
      </w:r>
    </w:p>
    <w:p w14:paraId="655A668F" w14:textId="77777777" w:rsidR="00CB2B4E" w:rsidRPr="00CB2B4E" w:rsidRDefault="00CB2B4E" w:rsidP="00CB2B4E">
      <w:pPr>
        <w:ind w:firstLineChars="200" w:firstLine="480"/>
        <w:jc w:val="left"/>
        <w:rPr>
          <w:rFonts w:ascii="仿宋" w:eastAsia="仿宋" w:hAnsi="仿宋"/>
          <w:sz w:val="24"/>
          <w:szCs w:val="24"/>
        </w:rPr>
      </w:pPr>
      <w:r w:rsidRPr="00CB2B4E">
        <w:rPr>
          <w:rFonts w:ascii="仿宋" w:eastAsia="仿宋" w:hAnsi="仿宋" w:hint="eastAsia"/>
          <w:sz w:val="24"/>
          <w:szCs w:val="24"/>
        </w:rPr>
        <w:t>1．功能需求：</w:t>
      </w:r>
    </w:p>
    <w:p w14:paraId="581D728F" w14:textId="0CAD1328"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1)商保快赔功能</w:t>
      </w:r>
    </w:p>
    <w:p w14:paraId="7CC0C664"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患者就诊结算后，线上发起理赔申请，通过接口的方式在线提交理赔所需的就诊数据，实现无纸化理赔流程，保险公司审核完成理赔后，直接将商保报销费用支付给患者。</w:t>
      </w:r>
    </w:p>
    <w:p w14:paraId="0A87E07E"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用户发起理赔申请渠道包括：微信小程序、医院微信公众号/APP、保险公司微信公众号/APP/系统等</w:t>
      </w:r>
    </w:p>
    <w:p w14:paraId="19BC067C" w14:textId="75FE571A"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2)商保直赔功能</w:t>
      </w:r>
    </w:p>
    <w:p w14:paraId="5D518C2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患者出院结算时商保实时同步结算，患者无需支付商保应报销的部分，患者出院时只需支付扣除医保、商保报销后个人自付部分费用，事后保险机构按周与医院进行相应款项结算。</w:t>
      </w:r>
    </w:p>
    <w:p w14:paraId="1C7B7EFB"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用户发起理赔申请渠道包括：微信小程序、医院微信公众号/APP、保险公司微信公众号/APP/系统等。</w:t>
      </w:r>
    </w:p>
    <w:p w14:paraId="1FF87B88" w14:textId="1AA7DFFC" w:rsidR="00CB2B4E" w:rsidRDefault="00CB2B4E" w:rsidP="00CB2B4E">
      <w:pPr>
        <w:jc w:val="left"/>
        <w:rPr>
          <w:rFonts w:ascii="仿宋" w:eastAsia="仿宋" w:hAnsi="仿宋"/>
          <w:sz w:val="24"/>
          <w:szCs w:val="24"/>
        </w:rPr>
      </w:pPr>
      <w:r w:rsidRPr="00CB2B4E">
        <w:rPr>
          <w:rFonts w:ascii="仿宋" w:eastAsia="仿宋" w:hAnsi="仿宋" w:hint="eastAsia"/>
          <w:sz w:val="24"/>
          <w:szCs w:val="24"/>
        </w:rPr>
        <w:t>3)移动端（C端）功能</w:t>
      </w:r>
    </w:p>
    <w:p w14:paraId="7EF5C6D0" w14:textId="2B777191" w:rsidR="00CB2B4E" w:rsidRPr="007C171B" w:rsidRDefault="00CB2B4E" w:rsidP="007C171B">
      <w:pPr>
        <w:pStyle w:val="a9"/>
        <w:numPr>
          <w:ilvl w:val="0"/>
          <w:numId w:val="3"/>
        </w:numPr>
        <w:jc w:val="left"/>
        <w:rPr>
          <w:rFonts w:ascii="仿宋" w:eastAsia="仿宋" w:hAnsi="仿宋"/>
          <w:sz w:val="24"/>
          <w:szCs w:val="24"/>
        </w:rPr>
      </w:pPr>
      <w:r w:rsidRPr="007C171B">
        <w:rPr>
          <w:rFonts w:ascii="仿宋" w:eastAsia="仿宋" w:hAnsi="仿宋" w:hint="eastAsia"/>
          <w:sz w:val="24"/>
          <w:szCs w:val="24"/>
        </w:rPr>
        <w:t>实名认证：支持银联四要素、运营商三要素</w:t>
      </w:r>
      <w:r w:rsidR="00345F24" w:rsidRPr="007C171B">
        <w:rPr>
          <w:rFonts w:ascii="仿宋" w:eastAsia="仿宋" w:hAnsi="仿宋" w:hint="eastAsia"/>
          <w:sz w:val="24"/>
          <w:szCs w:val="24"/>
        </w:rPr>
        <w:t>、刷脸认证等安全</w:t>
      </w:r>
      <w:r w:rsidRPr="007C171B">
        <w:rPr>
          <w:rFonts w:ascii="仿宋" w:eastAsia="仿宋" w:hAnsi="仿宋" w:hint="eastAsia"/>
          <w:sz w:val="24"/>
          <w:szCs w:val="24"/>
        </w:rPr>
        <w:t>方式的实名认证。</w:t>
      </w:r>
    </w:p>
    <w:p w14:paraId="35D91DBD" w14:textId="757B9950" w:rsidR="00CB2B4E" w:rsidRPr="007C171B" w:rsidRDefault="00CB2B4E" w:rsidP="007C171B">
      <w:pPr>
        <w:pStyle w:val="a9"/>
        <w:numPr>
          <w:ilvl w:val="0"/>
          <w:numId w:val="3"/>
        </w:numPr>
        <w:jc w:val="left"/>
        <w:rPr>
          <w:rFonts w:ascii="仿宋" w:eastAsia="仿宋" w:hAnsi="仿宋"/>
          <w:sz w:val="24"/>
          <w:szCs w:val="24"/>
        </w:rPr>
      </w:pPr>
      <w:r w:rsidRPr="007C171B">
        <w:rPr>
          <w:rFonts w:ascii="仿宋" w:eastAsia="仿宋" w:hAnsi="仿宋" w:hint="eastAsia"/>
          <w:sz w:val="24"/>
          <w:szCs w:val="24"/>
        </w:rPr>
        <w:t>申请理赔：</w:t>
      </w:r>
      <w:r w:rsidR="00345F24" w:rsidRPr="007C171B">
        <w:rPr>
          <w:rFonts w:ascii="仿宋" w:eastAsia="仿宋" w:hAnsi="仿宋" w:hint="eastAsia"/>
          <w:sz w:val="24"/>
          <w:szCs w:val="24"/>
        </w:rPr>
        <w:t>支持住院患者入院前进入直赔审核通道，同时</w:t>
      </w:r>
      <w:r w:rsidRPr="007C171B">
        <w:rPr>
          <w:rFonts w:ascii="仿宋" w:eastAsia="仿宋" w:hAnsi="仿宋" w:hint="eastAsia"/>
          <w:sz w:val="24"/>
          <w:szCs w:val="24"/>
        </w:rPr>
        <w:t>支持门诊及住院患者就诊后在线理赔申请。</w:t>
      </w:r>
    </w:p>
    <w:p w14:paraId="65569F05" w14:textId="7901FF2F" w:rsidR="00CB2B4E" w:rsidRPr="007C171B" w:rsidRDefault="00CB2B4E" w:rsidP="007C171B">
      <w:pPr>
        <w:pStyle w:val="a9"/>
        <w:numPr>
          <w:ilvl w:val="0"/>
          <w:numId w:val="3"/>
        </w:numPr>
        <w:jc w:val="left"/>
        <w:rPr>
          <w:rFonts w:ascii="仿宋" w:eastAsia="仿宋" w:hAnsi="仿宋"/>
          <w:sz w:val="24"/>
          <w:szCs w:val="24"/>
        </w:rPr>
      </w:pPr>
      <w:r w:rsidRPr="007C171B">
        <w:rPr>
          <w:rFonts w:ascii="仿宋" w:eastAsia="仿宋" w:hAnsi="仿宋" w:hint="eastAsia"/>
          <w:sz w:val="24"/>
          <w:szCs w:val="24"/>
        </w:rPr>
        <w:t>授权管理：支持患者对指定医疗机构、保险机构、就诊行为进行授权管理。</w:t>
      </w:r>
    </w:p>
    <w:p w14:paraId="471F67F8" w14:textId="4D47CBC5" w:rsidR="00CB2B4E" w:rsidRPr="007C171B" w:rsidRDefault="00CB2B4E" w:rsidP="007C171B">
      <w:pPr>
        <w:pStyle w:val="a9"/>
        <w:numPr>
          <w:ilvl w:val="0"/>
          <w:numId w:val="3"/>
        </w:numPr>
        <w:jc w:val="left"/>
        <w:rPr>
          <w:rFonts w:ascii="仿宋" w:eastAsia="仿宋" w:hAnsi="仿宋"/>
          <w:sz w:val="24"/>
          <w:szCs w:val="24"/>
        </w:rPr>
      </w:pPr>
      <w:r w:rsidRPr="007C171B">
        <w:rPr>
          <w:rFonts w:ascii="仿宋" w:eastAsia="仿宋" w:hAnsi="仿宋" w:hint="eastAsia"/>
          <w:sz w:val="24"/>
          <w:szCs w:val="24"/>
        </w:rPr>
        <w:t>理赔信息确认：支持患者在线查看、核对理赔金额及理赔病例等数据信息。</w:t>
      </w:r>
    </w:p>
    <w:p w14:paraId="1AE4772D" w14:textId="34EAB6E6" w:rsidR="00CB2B4E" w:rsidRPr="007C171B" w:rsidRDefault="00CB2B4E" w:rsidP="007C171B">
      <w:pPr>
        <w:pStyle w:val="a9"/>
        <w:numPr>
          <w:ilvl w:val="0"/>
          <w:numId w:val="3"/>
        </w:numPr>
        <w:jc w:val="left"/>
        <w:rPr>
          <w:rFonts w:ascii="仿宋" w:eastAsia="仿宋" w:hAnsi="仿宋"/>
          <w:sz w:val="24"/>
          <w:szCs w:val="24"/>
        </w:rPr>
      </w:pPr>
      <w:r w:rsidRPr="007C171B">
        <w:rPr>
          <w:rFonts w:ascii="仿宋" w:eastAsia="仿宋" w:hAnsi="仿宋" w:hint="eastAsia"/>
          <w:sz w:val="24"/>
          <w:szCs w:val="24"/>
        </w:rPr>
        <w:lastRenderedPageBreak/>
        <w:t>消息提醒：支持患者在申请理赔时，对理赔状态更新实时推送消息提醒。</w:t>
      </w:r>
    </w:p>
    <w:p w14:paraId="49BCCA45" w14:textId="3548764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4)医院管理后台功能</w:t>
      </w:r>
    </w:p>
    <w:p w14:paraId="6AA8997F"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为满足商保平台管理人员日常工作要求，医院管理端应含如下功能：</w:t>
      </w:r>
    </w:p>
    <w:p w14:paraId="1E4317FB" w14:textId="2F5E513D" w:rsidR="00345F24" w:rsidRPr="007C171B" w:rsidRDefault="00345F24" w:rsidP="007C171B">
      <w:pPr>
        <w:pStyle w:val="a9"/>
        <w:numPr>
          <w:ilvl w:val="0"/>
          <w:numId w:val="2"/>
        </w:numPr>
        <w:jc w:val="left"/>
        <w:rPr>
          <w:rFonts w:ascii="仿宋" w:eastAsia="仿宋" w:hAnsi="仿宋"/>
          <w:sz w:val="24"/>
          <w:szCs w:val="24"/>
        </w:rPr>
      </w:pPr>
      <w:r w:rsidRPr="007C171B">
        <w:rPr>
          <w:rFonts w:ascii="仿宋" w:eastAsia="仿宋" w:hAnsi="仿宋" w:hint="eastAsia"/>
          <w:sz w:val="24"/>
          <w:szCs w:val="24"/>
        </w:rPr>
        <w:t>提供理赔资料表单化设计模块，管理人员能快速根据不同保险公司提交病种模版进行表单化设计，满足不同病种提交资料。</w:t>
      </w:r>
    </w:p>
    <w:p w14:paraId="1EF40846" w14:textId="142103D3" w:rsidR="00345F24" w:rsidRPr="007C171B" w:rsidRDefault="00345F24" w:rsidP="007C171B">
      <w:pPr>
        <w:pStyle w:val="a9"/>
        <w:numPr>
          <w:ilvl w:val="0"/>
          <w:numId w:val="2"/>
        </w:numPr>
        <w:jc w:val="left"/>
        <w:rPr>
          <w:rFonts w:ascii="仿宋" w:eastAsia="仿宋" w:hAnsi="仿宋"/>
          <w:sz w:val="24"/>
          <w:szCs w:val="24"/>
        </w:rPr>
      </w:pPr>
      <w:r>
        <w:rPr>
          <w:rFonts w:ascii="仿宋" w:eastAsia="仿宋" w:hAnsi="仿宋" w:hint="eastAsia"/>
          <w:sz w:val="24"/>
          <w:szCs w:val="24"/>
        </w:rPr>
        <w:t>提供C端平台</w:t>
      </w:r>
      <w:r w:rsidR="00475DCF">
        <w:rPr>
          <w:rFonts w:ascii="仿宋" w:eastAsia="仿宋" w:hAnsi="仿宋" w:hint="eastAsia"/>
          <w:sz w:val="24"/>
          <w:szCs w:val="24"/>
        </w:rPr>
        <w:t>查询打印资料，满足本地管理</w:t>
      </w:r>
      <w:r>
        <w:rPr>
          <w:rFonts w:ascii="仿宋" w:eastAsia="仿宋" w:hAnsi="仿宋" w:hint="eastAsia"/>
          <w:sz w:val="24"/>
          <w:szCs w:val="24"/>
        </w:rPr>
        <w:t>，</w:t>
      </w:r>
      <w:r w:rsidR="00475DCF">
        <w:rPr>
          <w:rFonts w:ascii="仿宋" w:eastAsia="仿宋" w:hAnsi="仿宋" w:hint="eastAsia"/>
          <w:sz w:val="24"/>
          <w:szCs w:val="24"/>
        </w:rPr>
        <w:t>远程需</w:t>
      </w:r>
      <w:r>
        <w:rPr>
          <w:rFonts w:ascii="仿宋" w:eastAsia="仿宋" w:hAnsi="仿宋" w:hint="eastAsia"/>
          <w:sz w:val="24"/>
          <w:szCs w:val="24"/>
        </w:rPr>
        <w:t>使用VPN等加密通道</w:t>
      </w:r>
      <w:r w:rsidR="00475DCF">
        <w:rPr>
          <w:rFonts w:ascii="仿宋" w:eastAsia="仿宋" w:hAnsi="仿宋" w:hint="eastAsia"/>
          <w:sz w:val="24"/>
          <w:szCs w:val="24"/>
        </w:rPr>
        <w:t>通讯</w:t>
      </w:r>
      <w:r w:rsidR="00451FEF">
        <w:rPr>
          <w:rFonts w:ascii="仿宋" w:eastAsia="仿宋" w:hAnsi="仿宋" w:hint="eastAsia"/>
          <w:sz w:val="24"/>
          <w:szCs w:val="24"/>
        </w:rPr>
        <w:t>，可设置不同用户权限</w:t>
      </w:r>
      <w:r w:rsidR="00475DCF">
        <w:rPr>
          <w:rFonts w:ascii="仿宋" w:eastAsia="仿宋" w:hAnsi="仿宋" w:hint="eastAsia"/>
          <w:sz w:val="24"/>
          <w:szCs w:val="24"/>
        </w:rPr>
        <w:t>。</w:t>
      </w:r>
    </w:p>
    <w:p w14:paraId="61159492" w14:textId="6B2B58C1" w:rsidR="00CB2B4E" w:rsidRPr="007C171B" w:rsidRDefault="00CB2B4E" w:rsidP="007C171B">
      <w:pPr>
        <w:pStyle w:val="a9"/>
        <w:numPr>
          <w:ilvl w:val="0"/>
          <w:numId w:val="2"/>
        </w:numPr>
        <w:jc w:val="left"/>
        <w:rPr>
          <w:rFonts w:ascii="仿宋" w:eastAsia="仿宋" w:hAnsi="仿宋"/>
          <w:sz w:val="24"/>
          <w:szCs w:val="24"/>
        </w:rPr>
      </w:pPr>
      <w:r w:rsidRPr="007C171B">
        <w:rPr>
          <w:rFonts w:ascii="仿宋" w:eastAsia="仿宋" w:hAnsi="仿宋" w:hint="eastAsia"/>
          <w:sz w:val="24"/>
          <w:szCs w:val="24"/>
        </w:rPr>
        <w:t>用户管理：支持医院管理人员创建用户账号，进行权限设置。</w:t>
      </w:r>
    </w:p>
    <w:p w14:paraId="13F19369" w14:textId="68486231" w:rsidR="00CB2B4E" w:rsidRPr="007C171B" w:rsidRDefault="00CB2B4E" w:rsidP="007C171B">
      <w:pPr>
        <w:pStyle w:val="a9"/>
        <w:numPr>
          <w:ilvl w:val="0"/>
          <w:numId w:val="2"/>
        </w:numPr>
        <w:jc w:val="left"/>
        <w:rPr>
          <w:rFonts w:ascii="仿宋" w:eastAsia="仿宋" w:hAnsi="仿宋"/>
          <w:sz w:val="24"/>
          <w:szCs w:val="24"/>
        </w:rPr>
      </w:pPr>
      <w:r w:rsidRPr="007C171B">
        <w:rPr>
          <w:rFonts w:ascii="仿宋" w:eastAsia="仿宋" w:hAnsi="仿宋" w:hint="eastAsia"/>
          <w:sz w:val="24"/>
          <w:szCs w:val="24"/>
        </w:rPr>
        <w:t>授权信息查询：支持查看患者授权信息。</w:t>
      </w:r>
    </w:p>
    <w:p w14:paraId="35B0EBFA" w14:textId="37ED903D" w:rsidR="00CB2B4E" w:rsidRPr="007C171B" w:rsidRDefault="00CB2B4E" w:rsidP="007C171B">
      <w:pPr>
        <w:pStyle w:val="a9"/>
        <w:numPr>
          <w:ilvl w:val="0"/>
          <w:numId w:val="2"/>
        </w:numPr>
        <w:jc w:val="left"/>
        <w:rPr>
          <w:rFonts w:ascii="仿宋" w:eastAsia="仿宋" w:hAnsi="仿宋"/>
          <w:sz w:val="24"/>
          <w:szCs w:val="24"/>
        </w:rPr>
      </w:pPr>
      <w:r w:rsidRPr="007C171B">
        <w:rPr>
          <w:rFonts w:ascii="仿宋" w:eastAsia="仿宋" w:hAnsi="仿宋" w:hint="eastAsia"/>
          <w:sz w:val="24"/>
          <w:szCs w:val="24"/>
        </w:rPr>
        <w:t>赔案明细查询：支持对赔案明细进行查询，如患者、保司信息、业务类型，理赔明细等。</w:t>
      </w:r>
    </w:p>
    <w:p w14:paraId="5F599E93"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（4）统计查询：支持对保险机构、理赔患者服务人次进行查询统计。</w:t>
      </w:r>
    </w:p>
    <w:p w14:paraId="0C25558E" w14:textId="37EE5052"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2．售后服务要求：</w:t>
      </w:r>
    </w:p>
    <w:p w14:paraId="0F4FEE7F"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1)维护期内免上门费、维修费和系统升级费。在软件维保期内，供应商应通过远程控制、电话指导、现场处理的方式提供 7×24 小时的响应服务。所供软件出现问题时，其响应时间不超过 30分钟，一般故障处理时间不大于 2 小时；特殊情况下，故障修复时间不大于 24小时。</w:t>
      </w:r>
    </w:p>
    <w:p w14:paraId="087D43A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2)供应商需有专业服务人员提供定期的巡场服务，每年巡场服务不少于4次，主要负责维护本系统的日常运作，协助采购单位工作人员正常使用信息系统。</w:t>
      </w:r>
    </w:p>
    <w:p w14:paraId="4899E68A"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3)供应商须负责培训采购单位的使用人员，直至完全掌握信息系统的操作、日常维护保养及简单维修方法。</w:t>
      </w:r>
    </w:p>
    <w:p w14:paraId="532E19CB"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五、技术要求</w:t>
      </w:r>
    </w:p>
    <w:p w14:paraId="2AA05C89"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 技术架构要求</w:t>
      </w:r>
    </w:p>
    <w:p w14:paraId="650ABAC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1)JAVA EE技术路线。采用主流面向对象的开发语言。</w:t>
      </w:r>
    </w:p>
    <w:p w14:paraId="67AD2BC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2)整体架构采用SOA架构设计思想。</w:t>
      </w:r>
    </w:p>
    <w:p w14:paraId="797655CC"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与医院信息互联互通数据接口标准按照保监委《医保数据交换规范》和《国家异地就医结算系统接口规范》等进行设计，在满足商保理赔业务情况下，限定保险机构数据读取范围，以最小数据集来促进信息互联互通和业务协同。</w:t>
      </w:r>
    </w:p>
    <w:p w14:paraId="4BC67CC1"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 对接要求</w:t>
      </w:r>
    </w:p>
    <w:p w14:paraId="18ACC584"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1)明确的技术方案。</w:t>
      </w:r>
    </w:p>
    <w:p w14:paraId="372224C8"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明确的接口文档，并对HIS技术人员进行相关讲解和培训。包括但不限于：门诊基本信息、门诊收费明细、门诊结算明细、门诊病历信息、住院基本信息、住院费用明细、出院结算明细、住院入院记录、住院出院记录、手术信息记录、目录信息等。</w:t>
      </w:r>
    </w:p>
    <w:p w14:paraId="33E9DF9A" w14:textId="18B9A6FE"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w:t>
      </w:r>
      <w:r w:rsidRPr="00CB2B4E">
        <w:rPr>
          <w:rFonts w:ascii="仿宋" w:eastAsia="仿宋" w:hAnsi="仿宋" w:hint="eastAsia"/>
          <w:sz w:val="24"/>
          <w:szCs w:val="24"/>
        </w:rPr>
        <w:tab/>
        <w:t>系统支持一次系统改造，多家保险公司接入。</w:t>
      </w:r>
    </w:p>
    <w:p w14:paraId="2E33F3B5" w14:textId="2548265B"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4)</w:t>
      </w:r>
      <w:r w:rsidRPr="00CB2B4E">
        <w:rPr>
          <w:rFonts w:ascii="仿宋" w:eastAsia="仿宋" w:hAnsi="仿宋" w:hint="eastAsia"/>
          <w:sz w:val="24"/>
          <w:szCs w:val="24"/>
        </w:rPr>
        <w:tab/>
        <w:t>公众号对接：患者端功能可与医院公众号对接，可在医院公众号提供商保理赔服务功能。</w:t>
      </w:r>
    </w:p>
    <w:p w14:paraId="1A193BA6"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 性能指标要求</w:t>
      </w:r>
    </w:p>
    <w:p w14:paraId="5512216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3.1. 采用多层架构和体系结构，充分考虑到系统今后纵向和横向的平滑扩展能力；</w:t>
      </w:r>
    </w:p>
    <w:p w14:paraId="33992F6F"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3.2. 满足不少于20个并发查询业务处理，90%的响应时间≤3秒；</w:t>
      </w:r>
    </w:p>
    <w:p w14:paraId="16BD9130"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3.3. 复杂报表或查询，查询时间不大于60秒；</w:t>
      </w:r>
    </w:p>
    <w:p w14:paraId="0177AC71"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3.4. 一般报表或查询，查询时间不大于10秒；</w:t>
      </w:r>
    </w:p>
    <w:p w14:paraId="671F21E5"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3.5. 复杂的数理统计、数据挖掘，不大于5分钟；</w:t>
      </w:r>
    </w:p>
    <w:p w14:paraId="30644CE6"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lastRenderedPageBreak/>
        <w:t>3.6. 一般高级数据分析（如预测分析、相关分析），不大于3分钟；</w:t>
      </w:r>
    </w:p>
    <w:p w14:paraId="12E6D86B"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3.7. 在网络稳定的环境下操作性界面单一操作的系统响应时间小于10秒；</w:t>
      </w:r>
    </w:p>
    <w:p w14:paraId="3D093193"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3.8. 系统提供7天×24小时的连续运行；</w:t>
      </w:r>
    </w:p>
    <w:p w14:paraId="24BFB0CA"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3.9 平均年故障时间低于120小时；平均故障修复时间低于2小时；</w:t>
      </w:r>
    </w:p>
    <w:p w14:paraId="68EE0DCC"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3.10 具有较强的系统安全性和冗余机制。</w:t>
      </w:r>
    </w:p>
    <w:p w14:paraId="0F9431D7"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4．信息安全要求</w:t>
      </w:r>
    </w:p>
    <w:p w14:paraId="4348B9B5" w14:textId="5BF440DB"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（1）为了确保平台的安全性，根据国家信息安全等级保护管理办法，商保平台建设方和接入机构信息安全等级应不低于等保三级。</w:t>
      </w:r>
    </w:p>
    <w:p w14:paraId="58091BDC" w14:textId="4468FC8E"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（2）实名认证要求：</w:t>
      </w:r>
    </w:p>
    <w:p w14:paraId="707EAF38"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支持在线实时实名认证技术，包括实名认证注册和实名身份验证。</w:t>
      </w:r>
    </w:p>
    <w:p w14:paraId="4714F18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商保患者投保或在首次使用理赔服务功能时，需要进行实名认证注册，用于确认合法身份。</w:t>
      </w:r>
    </w:p>
    <w:p w14:paraId="098391F5"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对已经通过实名认证的商保患者，在提交理赔申请时需要通过实名身份验证功能，以确认为本人发起。</w:t>
      </w:r>
    </w:p>
    <w:p w14:paraId="17830E6B" w14:textId="0AADBC1D"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（3）明确的患者授权</w:t>
      </w:r>
    </w:p>
    <w:p w14:paraId="19CCCB02"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支持患者对制定医疗机构、保险机构、就诊行为进行授权。</w:t>
      </w:r>
    </w:p>
    <w:p w14:paraId="6094BEAD"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（4）所有数据均应加密传输：</w:t>
      </w:r>
    </w:p>
    <w:p w14:paraId="4563E078"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商保一站式结算服务平台与医院系统和保险公司的数据传输均采用国密加密之后传输。</w:t>
      </w:r>
    </w:p>
    <w:p w14:paraId="23A72B78" w14:textId="461666EC"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（5）隐私保护：</w:t>
      </w:r>
    </w:p>
    <w:p w14:paraId="5F3B6632"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线上理赔业务中相关页面设置授权内容，并设置显著提示或勾选阅读等，获得用户的明示同意，包括注册时、理赔时等。</w:t>
      </w:r>
    </w:p>
    <w:p w14:paraId="04CC7092" w14:textId="77777777" w:rsidR="00CB2B4E" w:rsidRPr="00CB2B4E" w:rsidRDefault="00CB2B4E" w:rsidP="00CB2B4E">
      <w:pPr>
        <w:jc w:val="left"/>
        <w:rPr>
          <w:rFonts w:ascii="仿宋" w:eastAsia="仿宋" w:hAnsi="仿宋"/>
          <w:sz w:val="24"/>
          <w:szCs w:val="24"/>
        </w:rPr>
      </w:pPr>
      <w:r w:rsidRPr="00CB2B4E">
        <w:rPr>
          <w:rFonts w:ascii="仿宋" w:eastAsia="仿宋" w:hAnsi="仿宋" w:hint="eastAsia"/>
          <w:sz w:val="24"/>
          <w:szCs w:val="24"/>
        </w:rPr>
        <w:t>（5）医疗相关文书内容应遵守国家卫健委、国家中医药管理局印发《医疗机构病历管理规定(2013 年版)》及相关法律法规。</w:t>
      </w:r>
    </w:p>
    <w:p w14:paraId="6C6C5CB8" w14:textId="3ECC111B" w:rsidR="004E2BE2" w:rsidRDefault="00451FEF" w:rsidP="00CB2B4E">
      <w:pPr>
        <w:jc w:val="left"/>
        <w:rPr>
          <w:rFonts w:ascii="仿宋" w:eastAsia="仿宋" w:hAnsi="仿宋"/>
          <w:sz w:val="24"/>
          <w:szCs w:val="24"/>
        </w:rPr>
      </w:pPr>
      <w:r>
        <w:rPr>
          <w:rFonts w:ascii="仿宋" w:eastAsia="仿宋" w:hAnsi="仿宋" w:hint="eastAsia"/>
          <w:sz w:val="24"/>
          <w:szCs w:val="24"/>
        </w:rPr>
        <w:t>（6）登录及传输数据提供账号密码登录外，需提供网证通等数字认证方式，保证数据安全。</w:t>
      </w:r>
    </w:p>
    <w:p w14:paraId="74A87723" w14:textId="36D071F0" w:rsidR="00451FEF" w:rsidRDefault="00451FEF" w:rsidP="00CB2B4E">
      <w:pPr>
        <w:jc w:val="left"/>
        <w:rPr>
          <w:rFonts w:ascii="仿宋" w:eastAsia="仿宋" w:hAnsi="仿宋"/>
          <w:sz w:val="24"/>
          <w:szCs w:val="24"/>
        </w:rPr>
      </w:pPr>
      <w:r>
        <w:rPr>
          <w:rFonts w:ascii="仿宋" w:eastAsia="仿宋" w:hAnsi="仿宋" w:hint="eastAsia"/>
          <w:sz w:val="24"/>
          <w:szCs w:val="24"/>
        </w:rPr>
        <w:t>（7）系统需提示登录安全分析，需记录日志需记录登录详细信息，以及传输资料信息。系统可设定相关安全阈值，对大批量传输阈值应有熔断，且主动提醒管理员等功能。系统需定期提供每月发送数据报表汇总，供管理人员核查。</w:t>
      </w:r>
    </w:p>
    <w:p w14:paraId="75AFC3CC" w14:textId="72F7717A" w:rsidR="00ED43FB" w:rsidRDefault="00ED43FB" w:rsidP="00CB2B4E">
      <w:pPr>
        <w:jc w:val="left"/>
        <w:rPr>
          <w:rFonts w:ascii="仿宋" w:eastAsia="仿宋" w:hAnsi="仿宋"/>
          <w:sz w:val="24"/>
          <w:szCs w:val="24"/>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727"/>
        <w:gridCol w:w="793"/>
      </w:tblGrid>
      <w:tr w:rsidR="00ED43FB" w:rsidRPr="00ED43FB" w14:paraId="1A0DBA69" w14:textId="77777777" w:rsidTr="00E81A07">
        <w:trPr>
          <w:cantSplit/>
          <w:trHeight w:val="486"/>
        </w:trPr>
        <w:tc>
          <w:tcPr>
            <w:tcW w:w="704" w:type="dxa"/>
            <w:tcBorders>
              <w:top w:val="single" w:sz="4" w:space="0" w:color="auto"/>
              <w:left w:val="single" w:sz="4" w:space="0" w:color="auto"/>
              <w:bottom w:val="single" w:sz="4" w:space="0" w:color="auto"/>
              <w:right w:val="single" w:sz="4" w:space="0" w:color="auto"/>
            </w:tcBorders>
            <w:vAlign w:val="center"/>
            <w:hideMark/>
          </w:tcPr>
          <w:p w14:paraId="714D7BDF" w14:textId="77777777" w:rsidR="00ED43FB" w:rsidRPr="00ED43FB" w:rsidRDefault="00ED43FB" w:rsidP="00D92720">
            <w:pPr>
              <w:jc w:val="center"/>
              <w:rPr>
                <w:rFonts w:ascii="仿宋" w:eastAsia="仿宋" w:hAnsi="仿宋"/>
                <w:b/>
                <w:bCs/>
                <w:sz w:val="24"/>
                <w:szCs w:val="24"/>
              </w:rPr>
            </w:pPr>
            <w:r w:rsidRPr="00ED43FB">
              <w:rPr>
                <w:rFonts w:ascii="仿宋" w:eastAsia="仿宋" w:hAnsi="仿宋" w:hint="eastAsia"/>
                <w:b/>
                <w:bCs/>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6004A" w14:textId="77777777" w:rsidR="00ED43FB" w:rsidRPr="00ED43FB" w:rsidRDefault="00ED43FB" w:rsidP="00D92720">
            <w:pPr>
              <w:jc w:val="center"/>
              <w:rPr>
                <w:rFonts w:ascii="仿宋" w:eastAsia="仿宋" w:hAnsi="仿宋"/>
                <w:b/>
                <w:bCs/>
                <w:sz w:val="24"/>
                <w:szCs w:val="24"/>
              </w:rPr>
            </w:pPr>
            <w:r w:rsidRPr="00ED43FB">
              <w:rPr>
                <w:rFonts w:ascii="仿宋" w:eastAsia="仿宋" w:hAnsi="仿宋" w:hint="eastAsia"/>
                <w:b/>
                <w:bCs/>
                <w:sz w:val="24"/>
                <w:szCs w:val="24"/>
              </w:rPr>
              <w:t>评审项</w:t>
            </w:r>
          </w:p>
        </w:tc>
        <w:tc>
          <w:tcPr>
            <w:tcW w:w="5727" w:type="dxa"/>
            <w:tcBorders>
              <w:top w:val="single" w:sz="4" w:space="0" w:color="auto"/>
              <w:left w:val="single" w:sz="4" w:space="0" w:color="auto"/>
              <w:bottom w:val="single" w:sz="4" w:space="0" w:color="auto"/>
              <w:right w:val="single" w:sz="4" w:space="0" w:color="auto"/>
            </w:tcBorders>
            <w:vAlign w:val="center"/>
            <w:hideMark/>
          </w:tcPr>
          <w:p w14:paraId="4995EE79" w14:textId="77777777" w:rsidR="00ED43FB" w:rsidRPr="00ED43FB" w:rsidRDefault="00ED43FB" w:rsidP="00D92720">
            <w:pPr>
              <w:jc w:val="center"/>
              <w:rPr>
                <w:rFonts w:ascii="仿宋" w:eastAsia="仿宋" w:hAnsi="仿宋"/>
                <w:b/>
                <w:bCs/>
                <w:sz w:val="24"/>
                <w:szCs w:val="24"/>
              </w:rPr>
            </w:pPr>
            <w:r w:rsidRPr="00ED43FB">
              <w:rPr>
                <w:rFonts w:ascii="仿宋" w:eastAsia="仿宋" w:hAnsi="仿宋" w:hint="eastAsia"/>
                <w:b/>
                <w:bCs/>
                <w:sz w:val="24"/>
                <w:szCs w:val="24"/>
              </w:rPr>
              <w:t>评分标准</w:t>
            </w:r>
          </w:p>
        </w:tc>
        <w:tc>
          <w:tcPr>
            <w:tcW w:w="793" w:type="dxa"/>
            <w:tcBorders>
              <w:top w:val="single" w:sz="4" w:space="0" w:color="auto"/>
              <w:left w:val="single" w:sz="4" w:space="0" w:color="auto"/>
              <w:bottom w:val="single" w:sz="4" w:space="0" w:color="auto"/>
              <w:right w:val="single" w:sz="4" w:space="0" w:color="auto"/>
            </w:tcBorders>
            <w:vAlign w:val="center"/>
            <w:hideMark/>
          </w:tcPr>
          <w:p w14:paraId="17EA7EC3" w14:textId="77777777" w:rsidR="00ED43FB" w:rsidRPr="00ED43FB" w:rsidRDefault="00ED43FB" w:rsidP="00D92720">
            <w:pPr>
              <w:jc w:val="center"/>
              <w:rPr>
                <w:rFonts w:ascii="仿宋" w:eastAsia="仿宋" w:hAnsi="仿宋"/>
                <w:b/>
                <w:bCs/>
                <w:sz w:val="24"/>
                <w:szCs w:val="24"/>
              </w:rPr>
            </w:pPr>
            <w:r w:rsidRPr="00ED43FB">
              <w:rPr>
                <w:rFonts w:ascii="仿宋" w:eastAsia="仿宋" w:hAnsi="仿宋" w:hint="eastAsia"/>
                <w:b/>
                <w:bCs/>
                <w:sz w:val="24"/>
                <w:szCs w:val="24"/>
              </w:rPr>
              <w:t>分值</w:t>
            </w:r>
          </w:p>
        </w:tc>
      </w:tr>
      <w:tr w:rsidR="00ED43FB" w:rsidRPr="00ED43FB" w14:paraId="73763387" w14:textId="77777777" w:rsidTr="00E81A07">
        <w:trPr>
          <w:cantSplit/>
          <w:trHeight w:val="699"/>
        </w:trPr>
        <w:tc>
          <w:tcPr>
            <w:tcW w:w="704" w:type="dxa"/>
            <w:tcBorders>
              <w:top w:val="nil"/>
              <w:left w:val="single" w:sz="4" w:space="0" w:color="auto"/>
              <w:bottom w:val="single" w:sz="4" w:space="0" w:color="auto"/>
              <w:right w:val="single" w:sz="4" w:space="0" w:color="auto"/>
            </w:tcBorders>
            <w:vAlign w:val="center"/>
            <w:hideMark/>
          </w:tcPr>
          <w:p w14:paraId="1BB51122"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1</w:t>
            </w:r>
          </w:p>
        </w:tc>
        <w:tc>
          <w:tcPr>
            <w:tcW w:w="1418" w:type="dxa"/>
            <w:tcBorders>
              <w:top w:val="nil"/>
              <w:left w:val="single" w:sz="4" w:space="0" w:color="auto"/>
              <w:bottom w:val="single" w:sz="4" w:space="0" w:color="auto"/>
              <w:right w:val="single" w:sz="4" w:space="0" w:color="auto"/>
            </w:tcBorders>
            <w:vAlign w:val="center"/>
            <w:hideMark/>
          </w:tcPr>
          <w:p w14:paraId="0C5F07AB"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技术方案</w:t>
            </w:r>
          </w:p>
        </w:tc>
        <w:tc>
          <w:tcPr>
            <w:tcW w:w="5727" w:type="dxa"/>
            <w:tcBorders>
              <w:top w:val="single" w:sz="4" w:space="0" w:color="auto"/>
              <w:left w:val="single" w:sz="4" w:space="0" w:color="auto"/>
              <w:bottom w:val="single" w:sz="4" w:space="0" w:color="auto"/>
              <w:right w:val="single" w:sz="4" w:space="0" w:color="auto"/>
            </w:tcBorders>
            <w:vAlign w:val="center"/>
            <w:hideMark/>
          </w:tcPr>
          <w:p w14:paraId="34B5D515" w14:textId="5A7BA86E"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1.对项目背景、需求、目标理解清晰，对服务项目的特点、技术要等掌握全面，对服务项目的理解准确、认识深刻的，符合采购需求的，得</w:t>
            </w:r>
            <w:r w:rsidR="00D92720" w:rsidRPr="00ED43FB">
              <w:rPr>
                <w:rFonts w:ascii="仿宋" w:eastAsia="仿宋" w:hAnsi="仿宋" w:hint="eastAsia"/>
                <w:sz w:val="24"/>
                <w:szCs w:val="24"/>
              </w:rPr>
              <w:t>1</w:t>
            </w:r>
            <w:r w:rsidR="00D92720">
              <w:rPr>
                <w:rFonts w:ascii="仿宋" w:eastAsia="仿宋" w:hAnsi="仿宋"/>
                <w:sz w:val="24"/>
                <w:szCs w:val="24"/>
              </w:rPr>
              <w:t>1</w:t>
            </w:r>
            <w:r w:rsidRPr="00ED43FB">
              <w:rPr>
                <w:rFonts w:ascii="仿宋" w:eastAsia="仿宋" w:hAnsi="仿宋" w:hint="eastAsia"/>
                <w:sz w:val="24"/>
                <w:szCs w:val="24"/>
              </w:rPr>
              <w:t>分;</w:t>
            </w:r>
          </w:p>
          <w:p w14:paraId="3EBC55AE" w14:textId="1EE8252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2.对项目背景、需求、目标理解较清晰，对服务项目的特点、技术求等掌握较全面，对服务项目的理解较准确、认识较为深刻的，较符合购需求的，得</w:t>
            </w:r>
            <w:r w:rsidR="00D92720">
              <w:rPr>
                <w:rFonts w:ascii="仿宋" w:eastAsia="仿宋" w:hAnsi="仿宋"/>
                <w:sz w:val="24"/>
                <w:szCs w:val="24"/>
              </w:rPr>
              <w:t>7</w:t>
            </w:r>
            <w:r w:rsidRPr="00ED43FB">
              <w:rPr>
                <w:rFonts w:ascii="仿宋" w:eastAsia="仿宋" w:hAnsi="仿宋" w:hint="eastAsia"/>
                <w:sz w:val="24"/>
                <w:szCs w:val="24"/>
              </w:rPr>
              <w:t>分;</w:t>
            </w:r>
          </w:p>
          <w:p w14:paraId="5A2FBFE3" w14:textId="0D0C106E"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3.对项目背景、需求、目标不够清晰，对服务项目的特点、技术要习等掌握不够全面，对服务项目的理解不够准确、认识不够深刻的，基本合采购需求的程度，得</w:t>
            </w:r>
            <w:bookmarkStart w:id="0" w:name="_GoBack"/>
            <w:r w:rsidR="00D92720">
              <w:rPr>
                <w:rFonts w:ascii="仿宋" w:eastAsia="仿宋" w:hAnsi="仿宋"/>
                <w:sz w:val="24"/>
                <w:szCs w:val="24"/>
              </w:rPr>
              <w:t>3</w:t>
            </w:r>
            <w:bookmarkEnd w:id="0"/>
            <w:r w:rsidRPr="00ED43FB">
              <w:rPr>
                <w:rFonts w:ascii="仿宋" w:eastAsia="仿宋" w:hAnsi="仿宋" w:hint="eastAsia"/>
                <w:sz w:val="24"/>
                <w:szCs w:val="24"/>
              </w:rPr>
              <w:t>分;</w:t>
            </w:r>
          </w:p>
          <w:p w14:paraId="74E152D6"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4.未提供相关内容不得分。</w:t>
            </w:r>
          </w:p>
        </w:tc>
        <w:tc>
          <w:tcPr>
            <w:tcW w:w="793" w:type="dxa"/>
            <w:tcBorders>
              <w:top w:val="single" w:sz="4" w:space="0" w:color="auto"/>
              <w:left w:val="single" w:sz="4" w:space="0" w:color="auto"/>
              <w:bottom w:val="single" w:sz="4" w:space="0" w:color="auto"/>
              <w:right w:val="single" w:sz="4" w:space="0" w:color="auto"/>
            </w:tcBorders>
            <w:vAlign w:val="center"/>
            <w:hideMark/>
          </w:tcPr>
          <w:p w14:paraId="0333C0C0" w14:textId="54F961C5" w:rsidR="00ED43FB" w:rsidRPr="00ED43FB" w:rsidRDefault="00D92720" w:rsidP="00D92720">
            <w:pPr>
              <w:jc w:val="center"/>
              <w:rPr>
                <w:rFonts w:ascii="仿宋" w:eastAsia="仿宋" w:hAnsi="仿宋"/>
                <w:sz w:val="24"/>
                <w:szCs w:val="24"/>
              </w:rPr>
            </w:pPr>
            <w:r w:rsidRPr="00ED43FB">
              <w:rPr>
                <w:rFonts w:ascii="仿宋" w:eastAsia="仿宋" w:hAnsi="仿宋" w:hint="eastAsia"/>
                <w:sz w:val="24"/>
                <w:szCs w:val="24"/>
              </w:rPr>
              <w:t>1</w:t>
            </w:r>
            <w:r>
              <w:rPr>
                <w:rFonts w:ascii="仿宋" w:eastAsia="仿宋" w:hAnsi="仿宋"/>
                <w:sz w:val="24"/>
                <w:szCs w:val="24"/>
              </w:rPr>
              <w:t>1</w:t>
            </w:r>
          </w:p>
        </w:tc>
      </w:tr>
      <w:tr w:rsidR="00ED43FB" w:rsidRPr="00ED43FB" w14:paraId="2CB62944" w14:textId="77777777" w:rsidTr="00E81A07">
        <w:trPr>
          <w:cantSplit/>
          <w:trHeight w:val="855"/>
        </w:trPr>
        <w:tc>
          <w:tcPr>
            <w:tcW w:w="704" w:type="dxa"/>
            <w:tcBorders>
              <w:top w:val="single" w:sz="4" w:space="0" w:color="auto"/>
              <w:left w:val="single" w:sz="4" w:space="0" w:color="auto"/>
              <w:bottom w:val="single" w:sz="4" w:space="0" w:color="auto"/>
              <w:right w:val="single" w:sz="4" w:space="0" w:color="auto"/>
            </w:tcBorders>
            <w:vAlign w:val="center"/>
            <w:hideMark/>
          </w:tcPr>
          <w:p w14:paraId="18A3C193"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45F4CD"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业绩证明1</w:t>
            </w:r>
          </w:p>
        </w:tc>
        <w:tc>
          <w:tcPr>
            <w:tcW w:w="5727" w:type="dxa"/>
            <w:tcBorders>
              <w:top w:val="single" w:sz="4" w:space="0" w:color="auto"/>
              <w:left w:val="single" w:sz="4" w:space="0" w:color="auto"/>
              <w:bottom w:val="single" w:sz="4" w:space="0" w:color="auto"/>
              <w:right w:val="single" w:sz="4" w:space="0" w:color="auto"/>
            </w:tcBorders>
            <w:vAlign w:val="center"/>
            <w:hideMark/>
          </w:tcPr>
          <w:p w14:paraId="5FCD327D"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投标人提供省级商保平台项目合作成功案例，每提供一项得3分，最高15分；案例证明文件必须包括合作协议的正文首页、合作内容页、签章页、系统截图。提供不全或不提供均不得分。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5E16D354"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15</w:t>
            </w:r>
          </w:p>
        </w:tc>
      </w:tr>
      <w:tr w:rsidR="00ED43FB" w:rsidRPr="00ED43FB" w14:paraId="0D68DEE5" w14:textId="77777777" w:rsidTr="00E81A07">
        <w:trPr>
          <w:cantSplit/>
          <w:trHeight w:val="855"/>
        </w:trPr>
        <w:tc>
          <w:tcPr>
            <w:tcW w:w="704" w:type="dxa"/>
            <w:tcBorders>
              <w:top w:val="single" w:sz="4" w:space="0" w:color="auto"/>
              <w:left w:val="single" w:sz="4" w:space="0" w:color="auto"/>
              <w:bottom w:val="single" w:sz="4" w:space="0" w:color="auto"/>
              <w:right w:val="single" w:sz="4" w:space="0" w:color="auto"/>
            </w:tcBorders>
            <w:vAlign w:val="center"/>
            <w:hideMark/>
          </w:tcPr>
          <w:p w14:paraId="6359D0D2"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CEE32"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业绩证明2</w:t>
            </w:r>
          </w:p>
        </w:tc>
        <w:tc>
          <w:tcPr>
            <w:tcW w:w="5727" w:type="dxa"/>
            <w:tcBorders>
              <w:top w:val="single" w:sz="4" w:space="0" w:color="auto"/>
              <w:left w:val="single" w:sz="4" w:space="0" w:color="auto"/>
              <w:bottom w:val="single" w:sz="4" w:space="0" w:color="auto"/>
              <w:right w:val="single" w:sz="4" w:space="0" w:color="auto"/>
            </w:tcBorders>
            <w:vAlign w:val="center"/>
            <w:hideMark/>
          </w:tcPr>
          <w:p w14:paraId="103AA8D8"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投标人具有与三甲医院商保直赔项目合作的案例，每提供一项得2分，最高10分； 不提供、提供不全或不相关不得分。案例证明文件必须包括商保项目合作协议的正文首页（包括合作内容）、签章页复印件、带有商保结算信息的患者结算发票；提供不全或不提供均不得分。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356C0E2F"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10</w:t>
            </w:r>
          </w:p>
        </w:tc>
      </w:tr>
      <w:tr w:rsidR="00ED43FB" w:rsidRPr="00ED43FB" w14:paraId="0F7658A2" w14:textId="77777777" w:rsidTr="00E81A07">
        <w:trPr>
          <w:cantSplit/>
          <w:trHeight w:val="855"/>
        </w:trPr>
        <w:tc>
          <w:tcPr>
            <w:tcW w:w="704" w:type="dxa"/>
            <w:tcBorders>
              <w:top w:val="single" w:sz="4" w:space="0" w:color="auto"/>
              <w:left w:val="single" w:sz="4" w:space="0" w:color="auto"/>
              <w:bottom w:val="single" w:sz="4" w:space="0" w:color="auto"/>
              <w:right w:val="single" w:sz="4" w:space="0" w:color="auto"/>
            </w:tcBorders>
            <w:vAlign w:val="center"/>
            <w:hideMark/>
          </w:tcPr>
          <w:p w14:paraId="0B3BA50D"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379D7F"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保险公司合作证明</w:t>
            </w:r>
          </w:p>
        </w:tc>
        <w:tc>
          <w:tcPr>
            <w:tcW w:w="5727" w:type="dxa"/>
            <w:tcBorders>
              <w:top w:val="single" w:sz="4" w:space="0" w:color="auto"/>
              <w:left w:val="single" w:sz="4" w:space="0" w:color="auto"/>
              <w:bottom w:val="single" w:sz="4" w:space="0" w:color="auto"/>
              <w:right w:val="single" w:sz="4" w:space="0" w:color="auto"/>
            </w:tcBorders>
            <w:vAlign w:val="center"/>
            <w:hideMark/>
          </w:tcPr>
          <w:p w14:paraId="12A1C657"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保险公司合作数量：提供与保险公司商保直赔/快赔合作证明文件，证明文件必须包括合作协议的正文首页、合作内容页、签章页的复印件。每提供一项得</w:t>
            </w:r>
            <w:r w:rsidRPr="00ED43FB">
              <w:rPr>
                <w:rFonts w:ascii="仿宋" w:eastAsia="仿宋" w:hAnsi="仿宋"/>
                <w:sz w:val="24"/>
                <w:szCs w:val="24"/>
              </w:rPr>
              <w:t>1分</w:t>
            </w:r>
            <w:r w:rsidRPr="00ED43FB">
              <w:rPr>
                <w:rFonts w:ascii="仿宋" w:eastAsia="仿宋" w:hAnsi="仿宋" w:hint="eastAsia"/>
                <w:sz w:val="24"/>
                <w:szCs w:val="24"/>
              </w:rPr>
              <w:t>本项满分10分，不提供不得分。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6342A9BB"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10</w:t>
            </w:r>
          </w:p>
        </w:tc>
      </w:tr>
      <w:tr w:rsidR="00ED43FB" w:rsidRPr="00ED43FB" w14:paraId="7ECA4A83" w14:textId="77777777" w:rsidTr="00E81A07">
        <w:trPr>
          <w:cantSplit/>
          <w:trHeight w:val="855"/>
        </w:trPr>
        <w:tc>
          <w:tcPr>
            <w:tcW w:w="704" w:type="dxa"/>
            <w:tcBorders>
              <w:top w:val="single" w:sz="4" w:space="0" w:color="auto"/>
              <w:left w:val="single" w:sz="4" w:space="0" w:color="auto"/>
              <w:bottom w:val="single" w:sz="4" w:space="0" w:color="auto"/>
              <w:right w:val="single" w:sz="4" w:space="0" w:color="auto"/>
            </w:tcBorders>
            <w:vAlign w:val="center"/>
            <w:hideMark/>
          </w:tcPr>
          <w:p w14:paraId="4A32EF54"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14575D"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信息安全管理体系</w:t>
            </w:r>
          </w:p>
        </w:tc>
        <w:tc>
          <w:tcPr>
            <w:tcW w:w="5727" w:type="dxa"/>
            <w:tcBorders>
              <w:top w:val="single" w:sz="4" w:space="0" w:color="auto"/>
              <w:left w:val="single" w:sz="4" w:space="0" w:color="auto"/>
              <w:bottom w:val="single" w:sz="4" w:space="0" w:color="auto"/>
              <w:right w:val="single" w:sz="4" w:space="0" w:color="auto"/>
            </w:tcBorders>
            <w:vAlign w:val="center"/>
            <w:hideMark/>
          </w:tcPr>
          <w:p w14:paraId="6A684933" w14:textId="0EE811E8" w:rsidR="00ED43FB" w:rsidRPr="00ED43FB" w:rsidRDefault="00ED43FB" w:rsidP="00D92720">
            <w:pPr>
              <w:jc w:val="left"/>
              <w:rPr>
                <w:rFonts w:ascii="仿宋" w:eastAsia="仿宋" w:hAnsi="仿宋"/>
                <w:sz w:val="24"/>
                <w:szCs w:val="24"/>
              </w:rPr>
            </w:pPr>
            <w:r w:rsidRPr="00ED43FB">
              <w:rPr>
                <w:rFonts w:ascii="仿宋" w:eastAsia="仿宋" w:hAnsi="仿宋" w:hint="eastAsia"/>
                <w:sz w:val="24"/>
                <w:szCs w:val="24"/>
              </w:rPr>
              <w:t>公司方具有信息系统安全等级保护备案、信息安全管理体系认证（ISO27001）、质量管理体系认证（ISO9001）的，每提供1个得</w:t>
            </w:r>
            <w:r w:rsidR="00D92720">
              <w:rPr>
                <w:rFonts w:ascii="仿宋" w:eastAsia="仿宋" w:hAnsi="仿宋"/>
                <w:sz w:val="24"/>
                <w:szCs w:val="24"/>
              </w:rPr>
              <w:t>3</w:t>
            </w:r>
            <w:r w:rsidRPr="00ED43FB">
              <w:rPr>
                <w:rFonts w:ascii="仿宋" w:eastAsia="仿宋" w:hAnsi="仿宋" w:hint="eastAsia"/>
                <w:sz w:val="24"/>
                <w:szCs w:val="24"/>
              </w:rPr>
              <w:t>分，满分</w:t>
            </w:r>
            <w:r w:rsidR="00D92720">
              <w:rPr>
                <w:rFonts w:ascii="仿宋" w:eastAsia="仿宋" w:hAnsi="仿宋"/>
                <w:sz w:val="24"/>
                <w:szCs w:val="24"/>
              </w:rPr>
              <w:t>9</w:t>
            </w:r>
            <w:r w:rsidRPr="00ED43FB">
              <w:rPr>
                <w:rFonts w:ascii="仿宋" w:eastAsia="仿宋" w:hAnsi="仿宋" w:hint="eastAsia"/>
                <w:sz w:val="24"/>
                <w:szCs w:val="24"/>
              </w:rPr>
              <w:t>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3DCD0F21" w14:textId="17E77330" w:rsidR="00ED43FB" w:rsidRPr="00ED43FB" w:rsidRDefault="00D92720" w:rsidP="00D92720">
            <w:pPr>
              <w:jc w:val="center"/>
              <w:rPr>
                <w:rFonts w:ascii="仿宋" w:eastAsia="仿宋" w:hAnsi="仿宋"/>
                <w:sz w:val="24"/>
                <w:szCs w:val="24"/>
              </w:rPr>
            </w:pPr>
            <w:r>
              <w:rPr>
                <w:rFonts w:ascii="仿宋" w:eastAsia="仿宋" w:hAnsi="仿宋"/>
                <w:sz w:val="24"/>
                <w:szCs w:val="24"/>
              </w:rPr>
              <w:t>9</w:t>
            </w:r>
          </w:p>
        </w:tc>
      </w:tr>
      <w:tr w:rsidR="00ED43FB" w:rsidRPr="00ED43FB" w14:paraId="71BD3514" w14:textId="77777777" w:rsidTr="00E81A07">
        <w:trPr>
          <w:cantSplit/>
          <w:trHeight w:val="855"/>
        </w:trPr>
        <w:tc>
          <w:tcPr>
            <w:tcW w:w="704" w:type="dxa"/>
            <w:tcBorders>
              <w:top w:val="single" w:sz="4" w:space="0" w:color="auto"/>
              <w:left w:val="single" w:sz="4" w:space="0" w:color="auto"/>
              <w:bottom w:val="single" w:sz="4" w:space="0" w:color="auto"/>
              <w:right w:val="single" w:sz="4" w:space="0" w:color="auto"/>
            </w:tcBorders>
            <w:vAlign w:val="center"/>
            <w:hideMark/>
          </w:tcPr>
          <w:p w14:paraId="31998884"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6EC6B"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公司方的自主开发能力</w:t>
            </w:r>
          </w:p>
        </w:tc>
        <w:tc>
          <w:tcPr>
            <w:tcW w:w="5727" w:type="dxa"/>
            <w:tcBorders>
              <w:top w:val="single" w:sz="4" w:space="0" w:color="auto"/>
              <w:left w:val="single" w:sz="4" w:space="0" w:color="auto"/>
              <w:bottom w:val="single" w:sz="4" w:space="0" w:color="auto"/>
              <w:right w:val="single" w:sz="4" w:space="0" w:color="auto"/>
            </w:tcBorders>
            <w:vAlign w:val="center"/>
            <w:hideMark/>
          </w:tcPr>
          <w:p w14:paraId="0C78B51E"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公司方提供商保相关的软件著作权登记证书，每提供1份得5分，最高15分。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0DC8F720"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15</w:t>
            </w:r>
          </w:p>
        </w:tc>
      </w:tr>
      <w:tr w:rsidR="00ED43FB" w:rsidRPr="00ED43FB" w14:paraId="4BDD1CD8" w14:textId="77777777" w:rsidTr="00E81A07">
        <w:trPr>
          <w:cantSplit/>
          <w:trHeight w:val="2313"/>
        </w:trPr>
        <w:tc>
          <w:tcPr>
            <w:tcW w:w="704" w:type="dxa"/>
            <w:tcBorders>
              <w:top w:val="single" w:sz="4" w:space="0" w:color="auto"/>
              <w:left w:val="single" w:sz="4" w:space="0" w:color="auto"/>
              <w:bottom w:val="single" w:sz="4" w:space="0" w:color="auto"/>
              <w:right w:val="single" w:sz="4" w:space="0" w:color="auto"/>
            </w:tcBorders>
            <w:vAlign w:val="center"/>
            <w:hideMark/>
          </w:tcPr>
          <w:p w14:paraId="02AA31C9"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44A6B0"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论证报价</w:t>
            </w:r>
          </w:p>
        </w:tc>
        <w:tc>
          <w:tcPr>
            <w:tcW w:w="5727" w:type="dxa"/>
            <w:tcBorders>
              <w:top w:val="single" w:sz="4" w:space="0" w:color="auto"/>
              <w:left w:val="single" w:sz="4" w:space="0" w:color="auto"/>
              <w:bottom w:val="single" w:sz="4" w:space="0" w:color="auto"/>
              <w:right w:val="single" w:sz="4" w:space="0" w:color="auto"/>
            </w:tcBorders>
            <w:vAlign w:val="center"/>
            <w:hideMark/>
          </w:tcPr>
          <w:p w14:paraId="22BB9066"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价格分应当采用低价优先法计算，即满足论证文件要求且价格最低的论证报价为论证基准价，其价格分为满分。其他的价格分统一按照下列公式计算：报价得分=(论证基准价／论证报价)×价格分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109F5719"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30</w:t>
            </w:r>
          </w:p>
        </w:tc>
      </w:tr>
      <w:tr w:rsidR="00ED43FB" w:rsidRPr="00ED43FB" w14:paraId="14EC4133" w14:textId="77777777" w:rsidTr="00E81A07">
        <w:trPr>
          <w:cantSplit/>
          <w:trHeight w:val="440"/>
        </w:trPr>
        <w:tc>
          <w:tcPr>
            <w:tcW w:w="704" w:type="dxa"/>
            <w:tcBorders>
              <w:top w:val="single" w:sz="4" w:space="0" w:color="auto"/>
              <w:left w:val="single" w:sz="4" w:space="0" w:color="auto"/>
              <w:bottom w:val="single" w:sz="4" w:space="0" w:color="auto"/>
              <w:right w:val="single" w:sz="4" w:space="0" w:color="auto"/>
            </w:tcBorders>
            <w:vAlign w:val="center"/>
          </w:tcPr>
          <w:p w14:paraId="7CA85E3C" w14:textId="77777777" w:rsidR="00ED43FB" w:rsidRPr="00ED43FB" w:rsidRDefault="00ED43FB" w:rsidP="00ED43FB">
            <w:pPr>
              <w:jc w:val="left"/>
              <w:rPr>
                <w:rFonts w:ascii="仿宋" w:eastAsia="仿宋" w:hAnsi="仿宋"/>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23426D8" w14:textId="77777777" w:rsidR="00ED43FB" w:rsidRPr="00ED43FB" w:rsidRDefault="00ED43FB" w:rsidP="00ED43FB">
            <w:pPr>
              <w:jc w:val="left"/>
              <w:rPr>
                <w:rFonts w:ascii="仿宋" w:eastAsia="仿宋" w:hAnsi="仿宋"/>
                <w:sz w:val="24"/>
                <w:szCs w:val="24"/>
              </w:rPr>
            </w:pPr>
          </w:p>
        </w:tc>
        <w:tc>
          <w:tcPr>
            <w:tcW w:w="5727" w:type="dxa"/>
            <w:tcBorders>
              <w:top w:val="single" w:sz="4" w:space="0" w:color="auto"/>
              <w:left w:val="single" w:sz="4" w:space="0" w:color="auto"/>
              <w:bottom w:val="single" w:sz="4" w:space="0" w:color="auto"/>
              <w:right w:val="single" w:sz="4" w:space="0" w:color="auto"/>
            </w:tcBorders>
            <w:noWrap/>
            <w:vAlign w:val="center"/>
            <w:hideMark/>
          </w:tcPr>
          <w:p w14:paraId="05C320D6" w14:textId="77777777" w:rsidR="00ED43FB" w:rsidRPr="00ED43FB" w:rsidRDefault="00ED43FB" w:rsidP="00ED43FB">
            <w:pPr>
              <w:jc w:val="left"/>
              <w:rPr>
                <w:rFonts w:ascii="仿宋" w:eastAsia="仿宋" w:hAnsi="仿宋"/>
                <w:sz w:val="24"/>
                <w:szCs w:val="24"/>
              </w:rPr>
            </w:pPr>
            <w:r w:rsidRPr="00ED43FB">
              <w:rPr>
                <w:rFonts w:ascii="仿宋" w:eastAsia="仿宋" w:hAnsi="仿宋" w:hint="eastAsia"/>
                <w:sz w:val="24"/>
                <w:szCs w:val="24"/>
              </w:rPr>
              <w:t>总分</w:t>
            </w:r>
          </w:p>
        </w:tc>
        <w:tc>
          <w:tcPr>
            <w:tcW w:w="793" w:type="dxa"/>
            <w:tcBorders>
              <w:top w:val="single" w:sz="4" w:space="0" w:color="auto"/>
              <w:left w:val="single" w:sz="4" w:space="0" w:color="auto"/>
              <w:bottom w:val="single" w:sz="4" w:space="0" w:color="auto"/>
              <w:right w:val="single" w:sz="4" w:space="0" w:color="auto"/>
            </w:tcBorders>
            <w:noWrap/>
            <w:vAlign w:val="center"/>
            <w:hideMark/>
          </w:tcPr>
          <w:p w14:paraId="29CF6897" w14:textId="77777777" w:rsidR="00ED43FB" w:rsidRPr="00ED43FB" w:rsidRDefault="00ED43FB" w:rsidP="00D92720">
            <w:pPr>
              <w:jc w:val="center"/>
              <w:rPr>
                <w:rFonts w:ascii="仿宋" w:eastAsia="仿宋" w:hAnsi="仿宋"/>
                <w:sz w:val="24"/>
                <w:szCs w:val="24"/>
              </w:rPr>
            </w:pPr>
            <w:r w:rsidRPr="00ED43FB">
              <w:rPr>
                <w:rFonts w:ascii="仿宋" w:eastAsia="仿宋" w:hAnsi="仿宋" w:hint="eastAsia"/>
                <w:sz w:val="24"/>
                <w:szCs w:val="24"/>
              </w:rPr>
              <w:t>100</w:t>
            </w:r>
          </w:p>
        </w:tc>
      </w:tr>
    </w:tbl>
    <w:p w14:paraId="19C945A4" w14:textId="77777777" w:rsidR="00ED43FB" w:rsidRPr="00CB2B4E" w:rsidRDefault="00ED43FB" w:rsidP="00CB2B4E">
      <w:pPr>
        <w:jc w:val="left"/>
        <w:rPr>
          <w:rFonts w:ascii="仿宋" w:eastAsia="仿宋" w:hAnsi="仿宋" w:hint="eastAsia"/>
          <w:sz w:val="24"/>
          <w:szCs w:val="24"/>
        </w:rPr>
      </w:pPr>
    </w:p>
    <w:sectPr w:rsidR="00ED43FB" w:rsidRPr="00CB2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D830" w14:textId="77777777" w:rsidR="00725AAA" w:rsidRDefault="00725AAA" w:rsidP="00345F24">
      <w:r>
        <w:separator/>
      </w:r>
    </w:p>
  </w:endnote>
  <w:endnote w:type="continuationSeparator" w:id="0">
    <w:p w14:paraId="6DC333C7" w14:textId="77777777" w:rsidR="00725AAA" w:rsidRDefault="00725AAA" w:rsidP="0034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07C7" w14:textId="77777777" w:rsidR="00725AAA" w:rsidRDefault="00725AAA" w:rsidP="00345F24">
      <w:r>
        <w:separator/>
      </w:r>
    </w:p>
  </w:footnote>
  <w:footnote w:type="continuationSeparator" w:id="0">
    <w:p w14:paraId="41AEE812" w14:textId="77777777" w:rsidR="00725AAA" w:rsidRDefault="00725AAA" w:rsidP="0034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98A"/>
    <w:multiLevelType w:val="hybridMultilevel"/>
    <w:tmpl w:val="F1EEF5BA"/>
    <w:lvl w:ilvl="0" w:tplc="8708D94C">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A605C6"/>
    <w:multiLevelType w:val="hybridMultilevel"/>
    <w:tmpl w:val="9244E596"/>
    <w:lvl w:ilvl="0" w:tplc="A110835A">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5E7633"/>
    <w:multiLevelType w:val="hybridMultilevel"/>
    <w:tmpl w:val="5B067160"/>
    <w:lvl w:ilvl="0" w:tplc="3EEE7A2C">
      <w:start w:val="1"/>
      <w:numFmt w:val="decimal"/>
      <w:suff w:val="nothing"/>
      <w:lvlText w:val="（%1）"/>
      <w:lvlJc w:val="left"/>
      <w:pPr>
        <w:ind w:left="840" w:hanging="72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zh-CN"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4E"/>
    <w:rsid w:val="00142109"/>
    <w:rsid w:val="001E6D7A"/>
    <w:rsid w:val="00345F24"/>
    <w:rsid w:val="00451FEF"/>
    <w:rsid w:val="00475DCF"/>
    <w:rsid w:val="004E2BE2"/>
    <w:rsid w:val="00725AAA"/>
    <w:rsid w:val="007C171B"/>
    <w:rsid w:val="008452C8"/>
    <w:rsid w:val="00A729B7"/>
    <w:rsid w:val="00CB2B4E"/>
    <w:rsid w:val="00D92720"/>
    <w:rsid w:val="00DB51E1"/>
    <w:rsid w:val="00ED43FB"/>
    <w:rsid w:val="00F741D1"/>
    <w:rsid w:val="00F8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C2E4"/>
  <w15:chartTrackingRefBased/>
  <w15:docId w15:val="{AE800395-6647-4B39-95CE-F4520016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B2B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B2B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B2B4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B2B4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B2B4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B2B4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B2B4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B4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2B4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B4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B2B4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B2B4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B2B4E"/>
    <w:rPr>
      <w:rFonts w:cstheme="majorBidi"/>
      <w:color w:val="0F4761" w:themeColor="accent1" w:themeShade="BF"/>
      <w:sz w:val="28"/>
      <w:szCs w:val="28"/>
    </w:rPr>
  </w:style>
  <w:style w:type="character" w:customStyle="1" w:styleId="50">
    <w:name w:val="标题 5 字符"/>
    <w:basedOn w:val="a0"/>
    <w:link w:val="5"/>
    <w:uiPriority w:val="9"/>
    <w:semiHidden/>
    <w:rsid w:val="00CB2B4E"/>
    <w:rPr>
      <w:rFonts w:cstheme="majorBidi"/>
      <w:color w:val="0F4761" w:themeColor="accent1" w:themeShade="BF"/>
      <w:sz w:val="24"/>
      <w:szCs w:val="24"/>
    </w:rPr>
  </w:style>
  <w:style w:type="character" w:customStyle="1" w:styleId="60">
    <w:name w:val="标题 6 字符"/>
    <w:basedOn w:val="a0"/>
    <w:link w:val="6"/>
    <w:uiPriority w:val="9"/>
    <w:semiHidden/>
    <w:rsid w:val="00CB2B4E"/>
    <w:rPr>
      <w:rFonts w:cstheme="majorBidi"/>
      <w:b/>
      <w:bCs/>
      <w:color w:val="0F4761" w:themeColor="accent1" w:themeShade="BF"/>
    </w:rPr>
  </w:style>
  <w:style w:type="character" w:customStyle="1" w:styleId="70">
    <w:name w:val="标题 7 字符"/>
    <w:basedOn w:val="a0"/>
    <w:link w:val="7"/>
    <w:uiPriority w:val="9"/>
    <w:semiHidden/>
    <w:rsid w:val="00CB2B4E"/>
    <w:rPr>
      <w:rFonts w:cstheme="majorBidi"/>
      <w:b/>
      <w:bCs/>
      <w:color w:val="595959" w:themeColor="text1" w:themeTint="A6"/>
    </w:rPr>
  </w:style>
  <w:style w:type="character" w:customStyle="1" w:styleId="80">
    <w:name w:val="标题 8 字符"/>
    <w:basedOn w:val="a0"/>
    <w:link w:val="8"/>
    <w:uiPriority w:val="9"/>
    <w:semiHidden/>
    <w:rsid w:val="00CB2B4E"/>
    <w:rPr>
      <w:rFonts w:cstheme="majorBidi"/>
      <w:color w:val="595959" w:themeColor="text1" w:themeTint="A6"/>
    </w:rPr>
  </w:style>
  <w:style w:type="character" w:customStyle="1" w:styleId="90">
    <w:name w:val="标题 9 字符"/>
    <w:basedOn w:val="a0"/>
    <w:link w:val="9"/>
    <w:uiPriority w:val="9"/>
    <w:semiHidden/>
    <w:rsid w:val="00CB2B4E"/>
    <w:rPr>
      <w:rFonts w:eastAsiaTheme="majorEastAsia" w:cstheme="majorBidi"/>
      <w:color w:val="595959" w:themeColor="text1" w:themeTint="A6"/>
    </w:rPr>
  </w:style>
  <w:style w:type="paragraph" w:styleId="a3">
    <w:name w:val="Title"/>
    <w:basedOn w:val="a"/>
    <w:next w:val="a"/>
    <w:link w:val="a4"/>
    <w:uiPriority w:val="10"/>
    <w:qFormat/>
    <w:rsid w:val="00CB2B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B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B4E"/>
    <w:pPr>
      <w:spacing w:before="160" w:after="160"/>
      <w:jc w:val="center"/>
    </w:pPr>
    <w:rPr>
      <w:i/>
      <w:iCs/>
      <w:color w:val="404040" w:themeColor="text1" w:themeTint="BF"/>
    </w:rPr>
  </w:style>
  <w:style w:type="character" w:customStyle="1" w:styleId="a8">
    <w:name w:val="引用 字符"/>
    <w:basedOn w:val="a0"/>
    <w:link w:val="a7"/>
    <w:uiPriority w:val="29"/>
    <w:rsid w:val="00CB2B4E"/>
    <w:rPr>
      <w:i/>
      <w:iCs/>
      <w:color w:val="404040" w:themeColor="text1" w:themeTint="BF"/>
    </w:rPr>
  </w:style>
  <w:style w:type="paragraph" w:styleId="a9">
    <w:name w:val="List Paragraph"/>
    <w:basedOn w:val="a"/>
    <w:uiPriority w:val="34"/>
    <w:qFormat/>
    <w:rsid w:val="00CB2B4E"/>
    <w:pPr>
      <w:ind w:left="720"/>
      <w:contextualSpacing/>
    </w:pPr>
  </w:style>
  <w:style w:type="character" w:styleId="aa">
    <w:name w:val="Intense Emphasis"/>
    <w:basedOn w:val="a0"/>
    <w:uiPriority w:val="21"/>
    <w:qFormat/>
    <w:rsid w:val="00CB2B4E"/>
    <w:rPr>
      <w:i/>
      <w:iCs/>
      <w:color w:val="0F4761" w:themeColor="accent1" w:themeShade="BF"/>
    </w:rPr>
  </w:style>
  <w:style w:type="paragraph" w:styleId="ab">
    <w:name w:val="Intense Quote"/>
    <w:basedOn w:val="a"/>
    <w:next w:val="a"/>
    <w:link w:val="ac"/>
    <w:uiPriority w:val="30"/>
    <w:qFormat/>
    <w:rsid w:val="00CB2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B2B4E"/>
    <w:rPr>
      <w:i/>
      <w:iCs/>
      <w:color w:val="0F4761" w:themeColor="accent1" w:themeShade="BF"/>
    </w:rPr>
  </w:style>
  <w:style w:type="character" w:styleId="ad">
    <w:name w:val="Intense Reference"/>
    <w:basedOn w:val="a0"/>
    <w:uiPriority w:val="32"/>
    <w:qFormat/>
    <w:rsid w:val="00CB2B4E"/>
    <w:rPr>
      <w:b/>
      <w:bCs/>
      <w:smallCaps/>
      <w:color w:val="0F4761" w:themeColor="accent1" w:themeShade="BF"/>
      <w:spacing w:val="5"/>
    </w:rPr>
  </w:style>
  <w:style w:type="paragraph" w:styleId="ae">
    <w:name w:val="header"/>
    <w:basedOn w:val="a"/>
    <w:link w:val="af"/>
    <w:uiPriority w:val="99"/>
    <w:unhideWhenUsed/>
    <w:rsid w:val="00345F24"/>
    <w:pPr>
      <w:tabs>
        <w:tab w:val="center" w:pos="4153"/>
        <w:tab w:val="right" w:pos="8306"/>
      </w:tabs>
      <w:snapToGrid w:val="0"/>
      <w:jc w:val="center"/>
    </w:pPr>
    <w:rPr>
      <w:sz w:val="18"/>
      <w:szCs w:val="18"/>
    </w:rPr>
  </w:style>
  <w:style w:type="character" w:customStyle="1" w:styleId="af">
    <w:name w:val="页眉 字符"/>
    <w:basedOn w:val="a0"/>
    <w:link w:val="ae"/>
    <w:uiPriority w:val="99"/>
    <w:rsid w:val="00345F24"/>
    <w:rPr>
      <w:sz w:val="18"/>
      <w:szCs w:val="18"/>
    </w:rPr>
  </w:style>
  <w:style w:type="paragraph" w:styleId="af0">
    <w:name w:val="footer"/>
    <w:basedOn w:val="a"/>
    <w:link w:val="af1"/>
    <w:uiPriority w:val="99"/>
    <w:unhideWhenUsed/>
    <w:rsid w:val="00345F24"/>
    <w:pPr>
      <w:tabs>
        <w:tab w:val="center" w:pos="4153"/>
        <w:tab w:val="right" w:pos="8306"/>
      </w:tabs>
      <w:snapToGrid w:val="0"/>
      <w:jc w:val="left"/>
    </w:pPr>
    <w:rPr>
      <w:sz w:val="18"/>
      <w:szCs w:val="18"/>
    </w:rPr>
  </w:style>
  <w:style w:type="character" w:customStyle="1" w:styleId="af1">
    <w:name w:val="页脚 字符"/>
    <w:basedOn w:val="a0"/>
    <w:link w:val="af0"/>
    <w:uiPriority w:val="99"/>
    <w:rsid w:val="00345F24"/>
    <w:rPr>
      <w:sz w:val="18"/>
      <w:szCs w:val="18"/>
    </w:rPr>
  </w:style>
  <w:style w:type="paragraph" w:styleId="af2">
    <w:name w:val="Revision"/>
    <w:hidden/>
    <w:uiPriority w:val="99"/>
    <w:semiHidden/>
    <w:rsid w:val="00345F24"/>
  </w:style>
  <w:style w:type="paragraph" w:styleId="af3">
    <w:name w:val="Balloon Text"/>
    <w:basedOn w:val="a"/>
    <w:link w:val="af4"/>
    <w:uiPriority w:val="99"/>
    <w:semiHidden/>
    <w:unhideWhenUsed/>
    <w:rsid w:val="001E6D7A"/>
    <w:rPr>
      <w:sz w:val="18"/>
      <w:szCs w:val="18"/>
    </w:rPr>
  </w:style>
  <w:style w:type="character" w:customStyle="1" w:styleId="af4">
    <w:name w:val="批注框文本 字符"/>
    <w:basedOn w:val="a0"/>
    <w:link w:val="af3"/>
    <w:uiPriority w:val="99"/>
    <w:semiHidden/>
    <w:rsid w:val="001E6D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liyingxin82@sohu.com</dc:creator>
  <cp:keywords/>
  <dc:description/>
  <cp:lastModifiedBy>GP</cp:lastModifiedBy>
  <cp:revision>6</cp:revision>
  <dcterms:created xsi:type="dcterms:W3CDTF">2025-08-31T06:52:00Z</dcterms:created>
  <dcterms:modified xsi:type="dcterms:W3CDTF">2025-08-31T07:01:00Z</dcterms:modified>
</cp:coreProperties>
</file>