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8"/>
        <w:spacing w:before="0" w:beforeAutospacing="0" w:after="0" w:afterAutospacing="0"/>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 xml:space="preserve">附件2 </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调研报价表</w:t>
      </w:r>
    </w:p>
    <w:p w14:paraId="5D7C2FDC">
      <w:pP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项目名称：江门市中心医院</w:t>
      </w:r>
      <w:r>
        <w:rPr>
          <w:rFonts w:hint="eastAsia" w:ascii="方正仿宋_GB2312" w:hAnsi="方正仿宋_GB2312" w:eastAsia="方正仿宋_GB2312" w:cs="方正仿宋_GB2312"/>
          <w:b/>
          <w:color w:val="auto"/>
          <w:szCs w:val="21"/>
          <w:highlight w:val="none"/>
          <w:lang w:eastAsia="zh-CN"/>
        </w:rPr>
        <w:t>新院区</w:t>
      </w:r>
      <w:bookmarkStart w:id="0" w:name="_GoBack"/>
      <w:bookmarkEnd w:id="0"/>
      <w:r>
        <w:rPr>
          <w:rFonts w:hint="eastAsia" w:ascii="方正仿宋_GB2312" w:hAnsi="方正仿宋_GB2312" w:eastAsia="方正仿宋_GB2312" w:cs="方正仿宋_GB2312"/>
          <w:b/>
          <w:color w:val="auto"/>
          <w:szCs w:val="21"/>
          <w:highlight w:val="none"/>
          <w:lang w:val="en-US" w:eastAsia="zh-CN"/>
        </w:rPr>
        <w:t>电器供应项目</w:t>
      </w:r>
      <w:r>
        <w:rPr>
          <w:rFonts w:hint="eastAsia" w:ascii="方正仿宋_GB2312" w:hAnsi="方正仿宋_GB2312" w:eastAsia="方正仿宋_GB2312" w:cs="方正仿宋_GB2312"/>
          <w:b/>
          <w:color w:val="auto"/>
          <w:szCs w:val="21"/>
          <w:highlight w:val="none"/>
        </w:rPr>
        <w:t>市场调研</w:t>
      </w:r>
    </w:p>
    <w:p w14:paraId="34B684AD">
      <w:pP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供应商名称：</w:t>
      </w:r>
    </w:p>
    <w:p w14:paraId="513295BD">
      <w:pPr>
        <w:rPr>
          <w:rFonts w:hint="eastAsia" w:ascii="方正仿宋_GB2312" w:hAnsi="方正仿宋_GB2312" w:eastAsia="方正仿宋_GB2312" w:cs="方正仿宋_GB2312"/>
          <w:b/>
          <w:color w:val="auto"/>
          <w:szCs w:val="21"/>
          <w:highlight w:val="none"/>
          <w:lang w:val="en-US" w:eastAsia="zh-CN"/>
        </w:rPr>
      </w:pPr>
      <w:r>
        <w:rPr>
          <w:rFonts w:hint="eastAsia" w:ascii="方正仿宋_GB2312" w:hAnsi="方正仿宋_GB2312" w:eastAsia="方正仿宋_GB2312" w:cs="方正仿宋_GB2312"/>
          <w:b/>
          <w:color w:val="auto"/>
          <w:szCs w:val="21"/>
          <w:highlight w:val="none"/>
          <w:lang w:val="en-US" w:eastAsia="zh-CN"/>
        </w:rPr>
        <w:t>供应商联系人及方式：</w:t>
      </w:r>
    </w:p>
    <w:p w14:paraId="36529414">
      <w:pP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lang w:val="en-US" w:eastAsia="zh-CN"/>
        </w:rPr>
        <w:t>根据采购人的项目需求，</w:t>
      </w:r>
      <w:r>
        <w:rPr>
          <w:rFonts w:hint="eastAsia" w:ascii="方正仿宋_GB2312" w:hAnsi="方正仿宋_GB2312" w:eastAsia="方正仿宋_GB2312" w:cs="方正仿宋_GB2312"/>
          <w:b/>
          <w:color w:val="auto"/>
          <w:szCs w:val="21"/>
          <w:highlight w:val="none"/>
        </w:rPr>
        <w:t>报价</w:t>
      </w:r>
      <w:r>
        <w:rPr>
          <w:rFonts w:hint="eastAsia" w:ascii="方正仿宋_GB2312" w:hAnsi="方正仿宋_GB2312" w:eastAsia="方正仿宋_GB2312" w:cs="方正仿宋_GB2312"/>
          <w:b/>
          <w:color w:val="auto"/>
          <w:szCs w:val="21"/>
          <w:highlight w:val="none"/>
          <w:lang w:val="en-US" w:eastAsia="zh-CN"/>
        </w:rPr>
        <w:t>方案</w:t>
      </w:r>
      <w:r>
        <w:rPr>
          <w:rFonts w:hint="eastAsia" w:ascii="方正仿宋_GB2312" w:hAnsi="方正仿宋_GB2312" w:eastAsia="方正仿宋_GB2312" w:cs="方正仿宋_GB2312"/>
          <w:b/>
          <w:color w:val="auto"/>
          <w:szCs w:val="21"/>
          <w:highlight w:val="none"/>
        </w:rPr>
        <w:t>如下：</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8"/>
        <w:gridCol w:w="1004"/>
        <w:gridCol w:w="3720"/>
        <w:gridCol w:w="949"/>
        <w:gridCol w:w="675"/>
        <w:gridCol w:w="826"/>
        <w:gridCol w:w="809"/>
        <w:gridCol w:w="818"/>
      </w:tblGrid>
      <w:tr w14:paraId="3B60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149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序号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CA7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产品名称</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EFE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技术参数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B94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参考数量(台)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A0B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响应价格（元）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812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总价（元）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6F05">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品牌、型号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889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是否满足技术参数</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（是/否）</w:t>
            </w:r>
          </w:p>
        </w:tc>
      </w:tr>
      <w:tr w14:paraId="2BD6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91A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618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20升微波炉</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B81A">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内腔容积：20L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功率：≤700W</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加热方式：微波</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操作方式：旋钮式</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底盘类型：转盘式或平板或</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开门方式：侧开门</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不接受微烤一体机</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售后服务要求：1、设备免费送货安装及调试；2、免费培训设备的操作、日常维护和保养方法；3、提供原厂整机保修一年的售后服务。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C5B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68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E9F2">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2C70">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2501">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08A">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4C52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B6A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0991">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190升-200升二门冰箱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98A3">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总容积： 190L-200L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冷冻室容积≥60L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冷藏室容积≥110L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能效等级为1级或2级</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要求为风冷无霜冰箱</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综合耗电量(kw.h/24h)≤0.7</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冷冻能力≥2kg/12h</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运转时噪音≤38db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售后服务要求：1、设备免费送货安装及调试；2、免费培训设备的操作、日常维护和保养方法；3、提供原厂整机1年,主要零部件(包括压缩机、蒸发器、冷凝器、风扇电机、化霜加热丝等)3年的保修服务。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4BC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AF97">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439B">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F778">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ABE9">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7614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861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229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双门冷柜</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6C6F">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容积：300L-400L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有效容积≥330L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耗电量(kw.h/24h)≤2</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功率(w)：≤255</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额定电压：220V</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制冷方式：直冷</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温度范围：t≤-18℃</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类型：雪糕柜</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带万向脚轮，移动方便</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大圆弧玻璃门、视角效果更佳</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柜口防凝露设计，避免柜口结冰玻璃门冻结</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钢化镀膜热反射玻璃，隔热性能更好</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售后服务要求：1、设备免费送货安装及调试；2、免费培训设备的操作、日常维护和保养方法；3、提供原厂整机1年,主要零部件(包括压缩机、蒸发器、冷凝器、风扇电机、化霜加热丝等)3年的保修服务。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920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D1B0">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428A">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94C2">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5CF2">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6E24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0F3A">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899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250升—300升二门冰箱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C5F3">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容积： 250L-300L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冷冻室容≥90L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冷藏室容积≥160L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能效等级为1级或2级</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要求为风冷无霜冰箱</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综合耗电量(kw.h/24h)≤0.60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冷冻能力≥2.0kg/12h</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运转时噪音≤37db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控制方式：电子或电脑控温</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售后服务要求：1、设备免费送货安装及调试；2、免费培训设备的操作、日常维护和保养方法；3、提供原厂整机1年,主要零部件(包括压缩机、蒸发器、冷凝器、风扇电机、化霜加热丝等)3年的保修服务。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1EC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A259">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B1BF">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45C4">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33EC">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0146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41C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D43A">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300升-350升二门冰箱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0246">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容积：300L-350L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冷冻室容积≥100L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冷藏室容积≥170L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能效等级为1级或2级</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要求为风冷无霜冰箱</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综合耗电量(kw.h/24h)≤0.78</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冷冻能力不低于5.5kg/12h</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运转时噪音≤38db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售后服务要求：1、设备免费送货安装及调试；2、免费培训设备的操作、日常维护和保养方法；3、提供原厂整机1年,主要零部件(包括压缩机、蒸发器、冷凝器、风扇电机、化霜加热丝等)3年的保修服务。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41F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D14F">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B044">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9C2B">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817">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48E2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0E7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D6E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470升-500升十字门冰箱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31C9">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容积： 470L-500L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十字门冰箱</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冷藏室容积≥290L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冷冻室容积≥170L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能效等级为1级或2级</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要求为风冷无霜</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综合耗电量(kw.h/24h)≤0.85</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冷冻能力≥6kg/12h</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运转时噪音≤38db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售后服务要求：1、设备免费送货安装及调试；2、免费培训设备的操作、日常维护和保养方法；3、提供原厂整机1年,主要零部件(包括压缩机、蒸发器、冷凝器、风扇电机、化霜加热丝等)3年的保修服务。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4C8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CE1C">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BB38">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F31C">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93B6">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3F8E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95D1">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BA9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570升以上双开门冰箱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0D66">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容积：570L以上</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对开门冰箱</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冷藏室容积≥360L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冷冻室容积≥210L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能效等级为1级或2级</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要求为风冷无霜</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综合耗电量(kw.h/24h)≤0.96</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冷冻能力≥6kg/12h</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运转时噪音≤36db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售后服务要求：1、设备免费送货安装及调试；2、免费培训设备的操作、日常维护和保养方法；3、提供原厂整机1年,主要零部件(包括压缩机、蒸发器、冷凝器、风扇电机、化霜加热丝等)3年的保修服务。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3AE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2F3E">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E422">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125F">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C960">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4E05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A406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610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直饮水机</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8DAD">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1、电源电压220V 50Hz；</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2、额定功率</w:t>
            </w:r>
            <w:r>
              <w:rPr>
                <w:rStyle w:val="18"/>
                <w:rFonts w:hint="eastAsia" w:ascii="方正仿宋_GB2312" w:hAnsi="方正仿宋_GB2312" w:eastAsia="方正仿宋_GB2312" w:cs="方正仿宋_GB2312"/>
                <w:b w:val="0"/>
                <w:bCs w:val="0"/>
                <w:sz w:val="10"/>
                <w:szCs w:val="10"/>
                <w:lang w:val="en-US" w:eastAsia="zh-CN" w:bidi="ar"/>
              </w:rPr>
              <w:t>≤</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2KW；</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3、内胆容量≥6L、储水箱≥6L（提供与投标产品型号一致的整机《涉及饮用水卫生安全产品卫生许可批件》复印件做为依据，证件内须注明加热内胆容量及储水箱容量）；</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4、外形尺寸(长*厚*高)400x360 x1350mm（±5%）；</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5、水咀数:2个龙头，1开1温开水；</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6、过滤配置技术：不低于4级反渗透过滤（需在响应文件中明确投标产品所使用的各级滤芯，至少包含一级为反渗透滤芯）；净水流量≥0.5L/min，额定净水量≥4000L（提供与投标产品型号一致的整机《涉及饮用水卫生安全产品卫生许可批件》复印件，证件内须注明过滤配置，净水流量和额定净水量）；</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7、出水方式：触摸式按键出水；</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8、功能特点:隔夜水自动排除，确保水质新鲜；采用热交换器技术，内外管必须采用304不锈钢材质，保证温开水真正煮开后冷却；TDS值可一目了然，饮水机节能数值可视；</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9、采用滤芯射频感应功能：滤芯射频感应功能，具有滤芯真伪识别、使用寿命提醒功能，保证水质卫生安全；</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10、出水水质符合《生活饮用水水质处理器卫生安全与功能评价规范一反渗透处理装置》(2001)。</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11、便于后期运营管理，所有投标的整机产品及各级滤芯均为同一品牌（投标文件提供各级滤芯有效期内的“涉及饮用水卫生安全产品卫生许可批件”扫描件或复印件）</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03B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4875">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1E20">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A715">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89D9">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42C4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C4FCF">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658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上述直饮水机配套滤芯</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860F">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2年内本项目对应的直饮水机所需的配套滤芯更换（材料费、人工费等全包费用,以最后实际更换数结算）</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26E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74F8">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7183">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F00B">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1261">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3E5E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17C0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034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直饮水机</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058B">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1、加热内胆≥20升（提供与投标产品型号一致的整机《涉及饮用水卫生安全产品卫生许可批件》复印件做为依据，证件内须注明加热内胆容量）；</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2、电源/功率：220V/50Hz，2-3KW（提供与投标产品型号一致的整机CQC产品认证证书复印件，证件内须注明电源/功率）；</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3、出水方式：两龙头，一开水，一常温纯净水；龙头采用无铅材质，增加量≦0.001mg/L（提供与投标产品制造商的无铅龙头检测报告，且须提供全国认证认可信息公共服务平台官网http://cx.cnca.cn/查询截图）；</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4、柜式一体式饮水设备外形尺寸（长×宽×高）：520×450×1550mm（±5%）</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5、过滤配置：不低于4级反渗透过滤（PP棉滤芯+活性炭+PP棉活性炭棒复合滤芯+RO反渗透膜滤芯），净水流量≥1.05L/min，额定净水量≥10000L（提供与投标产品型号一致的整机《涉及饮用水卫生安全产品卫生许可批件》复印件，证件内须注明过滤配置，净水流量≥1.05L/min和额定净水量≥≥10000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6、配备纯水储水装置≥15L（提供与投标产品型号一致的整机《涉及饮用水卫生安全产品卫生许可批件》复印件做为依据，证件内须注明纯水储水装置容量≥15L）；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7、具有节水功能，净水产水量≥65%，水效等级1级（提供与投标产品型号一致的中国水效标识图以及中国水效标识网产品备案信息公示查询截图）</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8、采用步进式加热技术，逐层加热逐层补水，进水时具有电磁阀控制，冷热水分离一次沸腾，避免混合水和千沸水（提供投标产品制造商获得国家质监、科技或知识产权部门颁发的证明文件复印件以作证明）；</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9、采用滤芯射频感应功能：滤芯射频感应功能，具有滤芯真伪识别、使用寿命提醒功能，保证水质卫生安全（提供投标产品制造商获得国家质检、科技或知识产权部门颁发的证明文件复印件以作证明）；</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10、采用微电压无腐蚀电极，解决电极腐蚀问题（提供投标产品制造商获得国家质检、科技或知识产权部门颁发的证明文件复印件以作证明）；</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11、便于后期运营管理，所有投标的整机产品及各级滤芯均为同一品牌（投标文件提供各级滤芯有效期内的“涉及饮用水卫生安全产品卫生许可批件”扫描件或复印件）</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89D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2E26">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9C61">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EAC4">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7BCC">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106A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24C5">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7C5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上述直饮水机配套滤芯</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A53E">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2年内本项目对应的直饮水机所需的配套滤芯更换（材料费、人工费等全包费用,以最后实际更换数结算）</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9FE4">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48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F844">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B550">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4ABC">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B349">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1A8C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DB6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AA06">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开水器</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7FFF">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供水量(L/H)：≥30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容量(L)：≥15</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电压(V)：220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功率(W)：3000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全自动进水</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出水即沸水</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整机304不锈钢</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具缺水防干烧功能</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配不锈钢座架</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6A5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0321">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5C9C">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01EF">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C6FC">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3BD1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1D6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CCA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开水器</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9D41">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供水量(L/H)：≥90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容量(L)：≥50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电压(V)：380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功率(W)：9000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全自动进水</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出水即沸水</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整机304不锈钢</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具缺水防干烧功能</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配不锈钢座架</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77C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AFA5">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F32C">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79CD">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8A0C">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4321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6C0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FA9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干手机</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B1E1">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功率：1350W</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感应距离：0-12cm</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具安全保护功能：1. 短路保护：线路板短路即停止工作2.过流保护：高温运转时,自动停止工作3. 超时保护：60秒运行后自动停止工作4. 短路保护：电流过大时,即停止工作。</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146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789E">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A4F2">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ED16">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7183">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3ED0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1FD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084A">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60升抽湿机</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AF94">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适用面积：60-150㎡</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水箱容量:8L</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额定功率：≤720W</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噪音值：≤43dB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除 湿 量：60L/D</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实时监测显示环境湿度</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水满自动停机</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APP智控：通过手机可实现远程控制环境湿度</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售后服务要求：1、设备免费送货安装及调试；2、免费培训设备的操作、日常维护和保养方法；3、提供原厂整机1年,压缩机3年的保修服务。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8A35">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986F">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BE8E">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1722">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5D6">
            <w:pPr>
              <w:jc w:val="center"/>
              <w:rPr>
                <w:rFonts w:hint="eastAsia" w:ascii="方正仿宋_GB2312" w:hAnsi="方正仿宋_GB2312" w:eastAsia="方正仿宋_GB2312" w:cs="方正仿宋_GB2312"/>
                <w:b w:val="0"/>
                <w:bCs w:val="0"/>
                <w:i w:val="0"/>
                <w:iCs w:val="0"/>
                <w:color w:val="000000"/>
                <w:sz w:val="15"/>
                <w:szCs w:val="15"/>
                <w:u w:val="none"/>
              </w:rPr>
            </w:pPr>
          </w:p>
        </w:tc>
      </w:tr>
      <w:tr w14:paraId="247C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18DA">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6D64">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10kg滚筒洗衣机</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63B9">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洗烘一体滚筒洗衣机</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额定洗涤、脱水容量：10KG</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烘干容量：7KG</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洗涤噪音：≤50db</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额定脱水转速：≥1200rpm</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能效等级：1级</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具直驱变频电机</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具有杀菌自洁功能</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要求具有24H预约功能</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售后服务要求：1、设备免费送货安装及调试；2、免费培训设备的操作、日常维护和保养方法；3、提供原厂整机1年,主要零部件3年的保修服务。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800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35D0">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6340">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0B4E">
            <w:pPr>
              <w:jc w:val="center"/>
              <w:rPr>
                <w:rFonts w:hint="eastAsia" w:ascii="方正仿宋_GB2312" w:hAnsi="方正仿宋_GB2312" w:eastAsia="方正仿宋_GB2312" w:cs="方正仿宋_GB2312"/>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E1ED">
            <w:pPr>
              <w:jc w:val="center"/>
              <w:rPr>
                <w:rFonts w:hint="eastAsia" w:ascii="方正仿宋_GB2312" w:hAnsi="方正仿宋_GB2312" w:eastAsia="方正仿宋_GB2312" w:cs="方正仿宋_GB2312"/>
                <w:b w:val="0"/>
                <w:bCs w:val="0"/>
                <w:i w:val="0"/>
                <w:iCs w:val="0"/>
                <w:color w:val="000000"/>
                <w:sz w:val="15"/>
                <w:szCs w:val="15"/>
                <w:u w:val="none"/>
              </w:rPr>
            </w:pPr>
          </w:p>
        </w:tc>
      </w:tr>
    </w:tbl>
    <w:p w14:paraId="1B66EA45">
      <w:pPr>
        <w:widowControl w:val="0"/>
        <w:numPr>
          <w:ilvl w:val="0"/>
          <w:numId w:val="0"/>
        </w:numPr>
        <w:ind w:firstLine="480" w:firstLineChars="200"/>
        <w:jc w:val="both"/>
        <w:rPr>
          <w:rFonts w:hint="default" w:ascii="方正仿宋_GB2312" w:hAnsi="方正仿宋_GB2312" w:eastAsia="方正仿宋_GB2312" w:cs="方正仿宋_GB2312"/>
          <w:b w:val="0"/>
          <w:bCs/>
          <w:color w:val="auto"/>
          <w:sz w:val="24"/>
          <w:szCs w:val="24"/>
          <w:highlight w:val="none"/>
          <w:lang w:val="en-US" w:eastAsia="zh-CN"/>
        </w:rPr>
      </w:pPr>
      <w:r>
        <w:rPr>
          <w:rFonts w:hint="eastAsia" w:ascii="方正仿宋_GB2312" w:hAnsi="方正仿宋_GB2312" w:eastAsia="方正仿宋_GB2312" w:cs="方正仿宋_GB2312"/>
          <w:b w:val="0"/>
          <w:bCs/>
          <w:color w:val="auto"/>
          <w:sz w:val="24"/>
          <w:szCs w:val="24"/>
          <w:highlight w:val="none"/>
          <w:lang w:val="en-US" w:eastAsia="zh-CN"/>
        </w:rPr>
        <w:t>以上电器数量仅做参考，最终以采购人实际下订单数量为准。</w:t>
      </w:r>
    </w:p>
    <w:p w14:paraId="3AC8920D">
      <w:pPr>
        <w:numPr>
          <w:ilvl w:val="0"/>
          <w:numId w:val="0"/>
        </w:numPr>
        <w:rPr>
          <w:rFonts w:hint="eastAsia" w:ascii="方正仿宋_GB2312" w:hAnsi="方正仿宋_GB2312" w:eastAsia="方正仿宋_GB2312" w:cs="方正仿宋_GB2312"/>
          <w:color w:val="auto"/>
          <w:sz w:val="24"/>
          <w:highlight w:val="none"/>
          <w:lang w:val="en-US" w:eastAsia="zh-CN"/>
        </w:rPr>
      </w:pPr>
    </w:p>
    <w:p w14:paraId="25ED49DA">
      <w:pP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注：1.供应商须按要求填写所有信息，不得随意更改本表格式。</w:t>
      </w:r>
    </w:p>
    <w:p w14:paraId="1B1B7D46">
      <w:pPr>
        <w:ind w:firstLine="420" w:firstLineChars="2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Cs w:val="21"/>
          <w:highlight w:val="none"/>
        </w:rPr>
        <w:t>2.</w:t>
      </w:r>
      <w:r>
        <w:rPr>
          <w:rFonts w:hint="eastAsia" w:ascii="方正仿宋_GB2312" w:hAnsi="方正仿宋_GB2312" w:eastAsia="方正仿宋_GB2312" w:cs="方正仿宋_GB2312"/>
          <w:color w:val="auto"/>
          <w:highlight w:val="none"/>
        </w:rPr>
        <w:t>报价要求</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rPr>
        <w:t>总价包干</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rPr>
        <w:t>报价应包括货物、运输保险、搬运、二次搬运、分批安装、调试、培训、检测以及验收合格之前和质保期内服务及备品备件、障碍物拆除、垃圾清理、场地复原、包括配合采购人其它采购项目与本项目有相关技术协调工作以及发票税金等所有费用。本合同执行期间采购人不另外支付其他费用。</w:t>
      </w:r>
    </w:p>
    <w:p w14:paraId="29CEC46C">
      <w:pPr>
        <w:ind w:firstLine="420" w:firstLineChars="2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Cs w:val="21"/>
          <w:highlight w:val="none"/>
        </w:rPr>
        <w:t>3.供应商报价以经加盖公章后调研报价表为准。</w:t>
      </w:r>
    </w:p>
    <w:p w14:paraId="3B3C7B5F">
      <w:pPr>
        <w:tabs>
          <w:tab w:val="left" w:pos="7740"/>
        </w:tabs>
        <w:adjustRightInd w:val="0"/>
        <w:snapToGrid w:val="0"/>
        <w:jc w:val="right"/>
        <w:rPr>
          <w:rFonts w:hint="eastAsia" w:ascii="方正仿宋_GB2312" w:hAnsi="方正仿宋_GB2312" w:eastAsia="方正仿宋_GB2312" w:cs="方正仿宋_GB2312"/>
          <w:color w:val="auto"/>
          <w:szCs w:val="21"/>
          <w:highlight w:val="none"/>
          <w:u w:val="single"/>
        </w:rPr>
      </w:pPr>
      <w:r>
        <w:rPr>
          <w:rFonts w:hint="eastAsia" w:ascii="方正仿宋_GB2312" w:hAnsi="方正仿宋_GB2312" w:eastAsia="方正仿宋_GB2312" w:cs="方正仿宋_GB2312"/>
          <w:color w:val="auto"/>
          <w:szCs w:val="21"/>
          <w:highlight w:val="none"/>
        </w:rPr>
        <w:t>供应商名称（加盖公章）：</w:t>
      </w:r>
    </w:p>
    <w:p w14:paraId="19DFBF75">
      <w:pPr>
        <w:tabs>
          <w:tab w:val="left" w:pos="7740"/>
        </w:tabs>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Cs w:val="21"/>
          <w:highlight w:val="none"/>
        </w:rPr>
        <w:t xml:space="preserve">                                                       日期：      年   月   日</w:t>
      </w: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FF39B583-EADE-4FA8-ADCF-112D399C00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2DA748C"/>
    <w:rsid w:val="03E35FB0"/>
    <w:rsid w:val="06B233E5"/>
    <w:rsid w:val="07472077"/>
    <w:rsid w:val="07D96066"/>
    <w:rsid w:val="08BF40AC"/>
    <w:rsid w:val="0985320D"/>
    <w:rsid w:val="099953E8"/>
    <w:rsid w:val="09D87C1F"/>
    <w:rsid w:val="0B71032C"/>
    <w:rsid w:val="0CC371B3"/>
    <w:rsid w:val="0D157F19"/>
    <w:rsid w:val="0E4B14BC"/>
    <w:rsid w:val="0F1363C6"/>
    <w:rsid w:val="0FF25039"/>
    <w:rsid w:val="151E6636"/>
    <w:rsid w:val="1520195A"/>
    <w:rsid w:val="1AFC2414"/>
    <w:rsid w:val="1E1A73B6"/>
    <w:rsid w:val="20FC0A8A"/>
    <w:rsid w:val="21025564"/>
    <w:rsid w:val="2452597D"/>
    <w:rsid w:val="27125B34"/>
    <w:rsid w:val="27160EE4"/>
    <w:rsid w:val="2F655AE5"/>
    <w:rsid w:val="2F9E5F1A"/>
    <w:rsid w:val="303B2036"/>
    <w:rsid w:val="30C714A1"/>
    <w:rsid w:val="30DE1EB7"/>
    <w:rsid w:val="31E72E91"/>
    <w:rsid w:val="340F07A1"/>
    <w:rsid w:val="3415049C"/>
    <w:rsid w:val="355A0B35"/>
    <w:rsid w:val="36C35C10"/>
    <w:rsid w:val="38394ECF"/>
    <w:rsid w:val="39963CC8"/>
    <w:rsid w:val="3B7C3ADE"/>
    <w:rsid w:val="3BD66A3C"/>
    <w:rsid w:val="3CB2620D"/>
    <w:rsid w:val="3CBE7BFC"/>
    <w:rsid w:val="40EA433E"/>
    <w:rsid w:val="41676AB4"/>
    <w:rsid w:val="42255314"/>
    <w:rsid w:val="42F9541F"/>
    <w:rsid w:val="4320516C"/>
    <w:rsid w:val="48811A99"/>
    <w:rsid w:val="4DB11E7B"/>
    <w:rsid w:val="4E5A45A8"/>
    <w:rsid w:val="4ED60DD5"/>
    <w:rsid w:val="4F0869AA"/>
    <w:rsid w:val="4FBC0251"/>
    <w:rsid w:val="513B13C3"/>
    <w:rsid w:val="53E6380F"/>
    <w:rsid w:val="56276C8A"/>
    <w:rsid w:val="58134E48"/>
    <w:rsid w:val="5915699E"/>
    <w:rsid w:val="59BC7E98"/>
    <w:rsid w:val="59EC5950"/>
    <w:rsid w:val="615718FE"/>
    <w:rsid w:val="62A11E32"/>
    <w:rsid w:val="634E5635"/>
    <w:rsid w:val="63DB67AA"/>
    <w:rsid w:val="654A314B"/>
    <w:rsid w:val="68D91796"/>
    <w:rsid w:val="6B862EFC"/>
    <w:rsid w:val="6FF805B3"/>
    <w:rsid w:val="72F338B1"/>
    <w:rsid w:val="73F54553"/>
    <w:rsid w:val="755154F9"/>
    <w:rsid w:val="782033BC"/>
    <w:rsid w:val="78C22246"/>
    <w:rsid w:val="7B191EC6"/>
    <w:rsid w:val="7D252EA9"/>
    <w:rsid w:val="7F6C67D5"/>
    <w:rsid w:val="7F8D7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right="-26"/>
      <w:jc w:val="center"/>
    </w:pPr>
    <w:rPr>
      <w:rFonts w:hAnsiTheme="minorHAnsi" w:eastAsiaTheme="minorEastAsia" w:cstheme="minorBidi"/>
      <w:b/>
      <w:bCs/>
      <w:kern w:val="2"/>
      <w:sz w:val="84"/>
      <w:szCs w:val="84"/>
      <w:lang w:val="zh-CN"/>
    </w:rPr>
  </w:style>
  <w:style w:type="paragraph" w:styleId="4">
    <w:name w:val="Body Text Indent"/>
    <w:basedOn w:val="1"/>
    <w:qFormat/>
    <w:uiPriority w:val="99"/>
    <w:pPr>
      <w:autoSpaceDE/>
      <w:autoSpaceDN/>
      <w:adjustRightInd/>
      <w:ind w:left="567" w:leftChars="270"/>
      <w:jc w:val="both"/>
    </w:pPr>
    <w:rPr>
      <w:rFonts w:asciiTheme="minorHAnsi" w:hAnsiTheme="minorHAnsi" w:eastAsiaTheme="minorEastAsia" w:cstheme="minorBidi"/>
      <w:kern w:val="2"/>
      <w:sz w:val="21"/>
      <w:szCs w:val="22"/>
    </w:rPr>
  </w:style>
  <w:style w:type="paragraph" w:styleId="5">
    <w:name w:val="Plain Text"/>
    <w:basedOn w:val="1"/>
    <w:autoRedefine/>
    <w:qFormat/>
    <w:uiPriority w:val="0"/>
    <w:rPr>
      <w:rFonts w:ascii="宋体" w:hAnsi="Courier New"/>
      <w:szCs w:val="21"/>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font21"/>
    <w:basedOn w:val="11"/>
    <w:autoRedefine/>
    <w:qFormat/>
    <w:uiPriority w:val="0"/>
    <w:rPr>
      <w:rFonts w:hint="eastAsia" w:ascii="宋体" w:hAnsi="宋体" w:eastAsia="宋体" w:cs="宋体"/>
      <w:color w:val="000000"/>
      <w:sz w:val="21"/>
      <w:szCs w:val="21"/>
      <w:u w:val="none"/>
    </w:rPr>
  </w:style>
  <w:style w:type="character" w:customStyle="1" w:styleId="14">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6"/>
    <w:autoRedefine/>
    <w:qFormat/>
    <w:uiPriority w:val="0"/>
    <w:rPr>
      <w:rFonts w:asciiTheme="minorHAnsi" w:hAnsiTheme="minorHAnsi" w:eastAsiaTheme="minorEastAsia" w:cstheme="minorBidi"/>
      <w:kern w:val="2"/>
      <w:sz w:val="18"/>
      <w:szCs w:val="18"/>
    </w:rPr>
  </w:style>
  <w:style w:type="paragraph" w:customStyle="1" w:styleId="16">
    <w:name w:val="表格文字"/>
    <w:basedOn w:val="1"/>
    <w:qFormat/>
    <w:uiPriority w:val="0"/>
    <w:pPr>
      <w:spacing w:line="240" w:lineRule="auto"/>
    </w:pPr>
    <w:rPr>
      <w:spacing w:val="10"/>
    </w:rPr>
  </w:style>
  <w:style w:type="character" w:customStyle="1" w:styleId="17">
    <w:name w:val="font11"/>
    <w:basedOn w:val="11"/>
    <w:qFormat/>
    <w:uiPriority w:val="0"/>
    <w:rPr>
      <w:rFonts w:ascii="宋体" w:hAnsi="宋体" w:eastAsia="宋体" w:cs="宋体"/>
      <w:color w:val="000000"/>
      <w:sz w:val="22"/>
      <w:szCs w:val="22"/>
      <w:u w:val="none"/>
    </w:rPr>
  </w:style>
  <w:style w:type="character" w:customStyle="1" w:styleId="18">
    <w:name w:val="font31"/>
    <w:basedOn w:val="11"/>
    <w:qFormat/>
    <w:uiPriority w:val="0"/>
    <w:rPr>
      <w:rFonts w:hint="eastAsia" w:ascii="宋体" w:hAnsi="宋体" w:eastAsia="宋体" w:cs="宋体"/>
      <w:b/>
      <w:bCs/>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3750</Words>
  <Characters>4226</Characters>
  <Lines>2</Lines>
  <Paragraphs>1</Paragraphs>
  <TotalTime>1</TotalTime>
  <ScaleCrop>false</ScaleCrop>
  <LinksUpToDate>false</LinksUpToDate>
  <CharactersWithSpaces>4304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2024-04-03T01:28:00Z</cp:lastPrinted>
  <dcterms:modified xsi:type="dcterms:W3CDTF">2025-07-07T01:37:07Z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795C7AA1E09543CB9C5DC775E653C979_13</vt:lpwstr>
  </property>
  <property fmtid="{D5CDD505-2E9C-101B-9397-08002B2CF9AE}" pid="4" name="KSOTemplateDocerSaveRecord">
    <vt:lpwstr>eyJoZGlkIjoiYzc3NjY0YTY4Y2U4NDg0M2E4MWJkOTVlNDc3MjU2MGYiLCJ1c2VySWQiOiIzNTMyNjkyODgifQ==</vt:lpwstr>
  </property>
</Properties>
</file>