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E8624">
      <w:pPr>
        <w:jc w:val="center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肌电诱发电位仪</w:t>
      </w:r>
      <w:r>
        <w:rPr>
          <w:b/>
          <w:bCs/>
          <w:sz w:val="24"/>
          <w:szCs w:val="24"/>
        </w:rPr>
        <w:t>参数</w:t>
      </w:r>
      <w:r>
        <w:rPr>
          <w:rFonts w:hint="eastAsia"/>
          <w:b/>
          <w:bCs/>
          <w:sz w:val="24"/>
          <w:szCs w:val="24"/>
          <w:lang w:val="en-US" w:eastAsia="zh-CN"/>
        </w:rPr>
        <w:t>及</w:t>
      </w:r>
      <w:r>
        <w:rPr>
          <w:b/>
          <w:bCs/>
          <w:sz w:val="24"/>
          <w:szCs w:val="24"/>
        </w:rPr>
        <w:t>配置</w:t>
      </w:r>
      <w:r>
        <w:rPr>
          <w:rFonts w:hint="eastAsia"/>
          <w:b/>
          <w:bCs/>
          <w:sz w:val="24"/>
          <w:szCs w:val="24"/>
          <w:lang w:val="en-US" w:eastAsia="zh-CN"/>
        </w:rPr>
        <w:t>要求</w:t>
      </w:r>
    </w:p>
    <w:p w14:paraId="76BC5A6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适用范围：专业用于内分泌科检测糖尿病病变，确定各种单发性周围神经病、多发性周围神经病、神经丛病、神经根病功能状态及可疑病变，对患者周围神经病变的感觉及运动功能、自主神经功能评估和诊察之外，还可以判定中枢神经病变，以及可判别神经传导病变为肌源性或神经源性病变，查看糖尿病患者心率变异反应。</w:t>
      </w:r>
    </w:p>
    <w:p w14:paraId="32E59C4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一、系统技术规格要求： </w:t>
      </w:r>
    </w:p>
    <w:p w14:paraId="2DA92EBB">
      <w:pPr>
        <w:rPr>
          <w:rFonts w:hint="eastAsia"/>
          <w:sz w:val="24"/>
          <w:szCs w:val="24"/>
        </w:rPr>
      </w:pPr>
      <w:r>
        <w:rPr>
          <w:rFonts w:hint="eastAsia" w:ascii="黑体" w:hAnsi="黑体" w:eastAsia="黑体" w:cs="黑体"/>
          <w:szCs w:val="21"/>
          <w:lang w:eastAsia="zh-CN"/>
        </w:rPr>
        <w:t xml:space="preserve"> </w:t>
      </w:r>
      <w:r>
        <w:rPr>
          <w:rFonts w:hint="eastAsia"/>
          <w:sz w:val="24"/>
          <w:szCs w:val="24"/>
        </w:rPr>
        <w:t>1、系统电压灵敏度：0.01uv/D—30mv/D。保证仪器能够检获微弱电生理信号，须提供检测报告以核对参数；</w:t>
      </w:r>
      <w:bookmarkStart w:id="0" w:name="_GoBack"/>
      <w:bookmarkEnd w:id="0"/>
    </w:p>
    <w:p w14:paraId="4E7274BB">
      <w:pPr>
        <w:rPr>
          <w:rFonts w:hint="eastAsia"/>
          <w:sz w:val="24"/>
          <w:szCs w:val="24"/>
        </w:rPr>
      </w:pPr>
      <w:r>
        <w:rPr>
          <w:rFonts w:hint="eastAsia" w:ascii="黑体" w:hAnsi="黑体" w:eastAsia="黑体" w:cs="黑体"/>
          <w:szCs w:val="21"/>
          <w:lang w:eastAsia="zh-CN"/>
        </w:rPr>
        <w:t xml:space="preserve"> </w:t>
      </w:r>
      <w:r>
        <w:rPr>
          <w:rFonts w:hint="eastAsia"/>
          <w:sz w:val="24"/>
          <w:szCs w:val="24"/>
        </w:rPr>
        <w:t>2、共模抑制比：≥125dB，保证肌电图信号的质量</w:t>
      </w:r>
    </w:p>
    <w:p w14:paraId="17F4F7A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3、扫描时程：1ms/D—10000ms/D，要求不超过±5%</w:t>
      </w:r>
    </w:p>
    <w:p w14:paraId="2BCCE98E">
      <w:pPr>
        <w:rPr>
          <w:rFonts w:hint="eastAsia"/>
          <w:sz w:val="24"/>
          <w:szCs w:val="24"/>
        </w:rPr>
      </w:pPr>
      <w:r>
        <w:rPr>
          <w:rFonts w:hint="eastAsia" w:ascii="黑体" w:hAnsi="黑体" w:eastAsia="黑体" w:cs="黑体"/>
          <w:szCs w:val="21"/>
          <w:lang w:eastAsia="zh-CN"/>
        </w:rPr>
        <w:t xml:space="preserve"> </w:t>
      </w:r>
      <w:r>
        <w:rPr>
          <w:rFonts w:hint="eastAsia"/>
          <w:sz w:val="24"/>
          <w:szCs w:val="24"/>
        </w:rPr>
        <w:t>4、输入阻抗：≥5000兆欧，须提供检测报告以核对参数</w:t>
      </w:r>
    </w:p>
    <w:p w14:paraId="6F28AF0B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5、频率为0.15Hz～20KHz范围上 </w:t>
      </w:r>
    </w:p>
    <w:p w14:paraId="06D03D9F">
      <w:pPr>
        <w:rPr>
          <w:rFonts w:hint="eastAsia"/>
          <w:sz w:val="24"/>
          <w:szCs w:val="24"/>
        </w:rPr>
      </w:pPr>
      <w:r>
        <w:rPr>
          <w:rFonts w:hint="eastAsia" w:ascii="黑体" w:hAnsi="黑体" w:eastAsia="黑体" w:cs="黑体"/>
          <w:szCs w:val="21"/>
          <w:lang w:eastAsia="zh-CN"/>
        </w:rPr>
        <w:t xml:space="preserve"> </w:t>
      </w:r>
      <w:r>
        <w:rPr>
          <w:rFonts w:hint="eastAsia"/>
          <w:sz w:val="24"/>
          <w:szCs w:val="24"/>
        </w:rPr>
        <w:t>6、输入短路噪声：≤0.35μVrms，直接决定了肌电图信号的质量。须提供检测报告以核对参数；</w:t>
      </w:r>
    </w:p>
    <w:p w14:paraId="7DD8C3B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7.最大输出电压:≤350V</w:t>
      </w:r>
    </w:p>
    <w:p w14:paraId="7FD9443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二、电刺激器：</w:t>
      </w:r>
    </w:p>
    <w:p w14:paraId="4D1A817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1、系统电流刺激强度及误差要求：最大脉冲强度为100mA，误差要求控制在±5%之内。</w:t>
      </w:r>
    </w:p>
    <w:p w14:paraId="0CE6895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2、刺激波宽范围：40µs～1ms </w:t>
      </w:r>
    </w:p>
    <w:p w14:paraId="032F2B18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3、刺激频率范围：0.1～110Hz </w:t>
      </w:r>
    </w:p>
    <w:p w14:paraId="4394E77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三、质量体系认证和标准要求：</w:t>
      </w:r>
    </w:p>
    <w:p w14:paraId="427FF54E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必须提供肌电图诱发电位仪通过检验依据YY9706.240-2021及GB9706.1-2020相关安全要求。</w:t>
      </w:r>
    </w:p>
    <w:p w14:paraId="41F2899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四、功能项目要求：  </w:t>
      </w:r>
    </w:p>
    <w:p w14:paraId="1095B1B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1、感觉神经传导速度</w:t>
      </w:r>
    </w:p>
    <w:p w14:paraId="59D05C8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2、运动神经传导速度</w:t>
      </w:r>
    </w:p>
    <w:p w14:paraId="2979873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3、F波</w:t>
      </w:r>
    </w:p>
    <w:p w14:paraId="36455EB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4、H反射</w:t>
      </w:r>
    </w:p>
    <w:p w14:paraId="1E4E5CA2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5、重复电刺激</w:t>
      </w:r>
    </w:p>
    <w:p w14:paraId="3F446C6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6、植物神经检测</w:t>
      </w:r>
    </w:p>
    <w:p w14:paraId="3EFF4BB6">
      <w:pPr>
        <w:rPr>
          <w:rFonts w:hint="eastAsia"/>
          <w:sz w:val="24"/>
          <w:szCs w:val="24"/>
        </w:rPr>
      </w:pPr>
      <w:r>
        <w:rPr>
          <w:rFonts w:hint="eastAsia" w:ascii="黑体" w:hAnsi="黑体" w:eastAsia="黑体" w:cs="黑体"/>
          <w:szCs w:val="21"/>
          <w:lang w:eastAsia="zh-CN"/>
        </w:rPr>
        <w:t xml:space="preserve"> </w:t>
      </w:r>
      <w:r>
        <w:rPr>
          <w:rFonts w:hint="eastAsia"/>
          <w:sz w:val="24"/>
          <w:szCs w:val="24"/>
        </w:rPr>
        <w:t>（1）、皮肤反应：评估自主神经系统的功能。</w:t>
      </w:r>
    </w:p>
    <w:p w14:paraId="630869F8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7、表面肌电图：分析肌肉释放电位功率，排除肌源性疾病原因神经传导变慢。</w:t>
      </w:r>
    </w:p>
    <w:p w14:paraId="54D63BA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五、全自动智能化诊断传输：</w:t>
      </w:r>
    </w:p>
    <w:p w14:paraId="39BBCA2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具有全球独有的国人不同年龄阶段正常值分析模块，对正常值数据进行专业的编辑管理，具备强大的分析功能，通过云计算，可实时完成数据的统计，具备波形自动标注测量，数据自动计算和对比，报告自动分析输出，并输出相应的正常值分析报告。</w:t>
      </w:r>
    </w:p>
    <w:p w14:paraId="74478C3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2、工作界面支持中文软件系统及全中文报告系统(包括中文神经、肌肉名称)，可根据需要可设定正常值自定义报告格式，表格、数据、图形自动进入中文报告系统。</w:t>
      </w:r>
    </w:p>
    <w:p w14:paraId="77DA12F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3、软件内置产品检查参考值，根据不同受检者提供不同检查方案，并自动计算数值百分比</w:t>
      </w:r>
    </w:p>
    <w:p w14:paraId="1F456BC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、操作工作系统：人性化的诊断报告，可方便医生对病人的原始数据进行精确分析；一键恢复功能，能够有效的还原原始资料，防止数据丢失。在操作过程中具有图形和文字指导，便于初学者快速掌握诊查流程。</w:t>
      </w:r>
    </w:p>
    <w:p w14:paraId="35418689">
      <w:pPr>
        <w:rPr>
          <w:rFonts w:hint="eastAsia" w:eastAsiaTheme="minorEastAsia"/>
          <w:sz w:val="24"/>
          <w:szCs w:val="24"/>
          <w:lang w:eastAsia="zh-CN"/>
        </w:rPr>
      </w:pPr>
      <w:r>
        <w:rPr>
          <w:sz w:val="24"/>
          <w:szCs w:val="24"/>
        </w:rPr>
        <w:t>★</w:t>
      </w:r>
      <w:r>
        <w:rPr>
          <w:rFonts w:hint="eastAsia"/>
          <w:sz w:val="24"/>
          <w:szCs w:val="24"/>
        </w:rPr>
        <w:t>5、</w:t>
      </w:r>
      <w:r>
        <w:rPr>
          <w:sz w:val="24"/>
          <w:szCs w:val="24"/>
        </w:rPr>
        <w:t>符合标准化代谢性疾病管理中心平台系统对接标准</w:t>
      </w:r>
      <w:r>
        <w:rPr>
          <w:rFonts w:hint="eastAsia" w:ascii="宋体" w:hAnsi="宋体" w:cs="宋体"/>
          <w:szCs w:val="21"/>
        </w:rPr>
        <w:t>，符合MMC-Connection标准等相关慢病软件系统连接。</w:t>
      </w:r>
    </w:p>
    <w:p w14:paraId="2DD3044C">
      <w:pPr>
        <w:rPr>
          <w:rFonts w:hint="eastAsia"/>
          <w:sz w:val="24"/>
          <w:szCs w:val="24"/>
        </w:rPr>
      </w:pPr>
    </w:p>
    <w:p w14:paraId="135898E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配置清单</w:t>
      </w:r>
    </w:p>
    <w:p w14:paraId="1C02C931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便携式肌电图诱发电位仪软件 1套</w:t>
      </w:r>
    </w:p>
    <w:p w14:paraId="0E68335C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主机 1台</w:t>
      </w:r>
    </w:p>
    <w:p w14:paraId="08D5D390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电源适配器 1个</w:t>
      </w:r>
    </w:p>
    <w:p w14:paraId="336C499C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电源线组件 1根</w:t>
      </w:r>
    </w:p>
    <w:p w14:paraId="22B3DDA0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使用技术说明书 1本</w:t>
      </w:r>
    </w:p>
    <w:p w14:paraId="0A107923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软件使用操作手册 1本</w:t>
      </w:r>
    </w:p>
    <w:p w14:paraId="2CAB779B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U盘 1个</w:t>
      </w:r>
    </w:p>
    <w:p w14:paraId="6AB2B6F0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售后服务卡 1张</w:t>
      </w:r>
    </w:p>
    <w:p w14:paraId="72BC38BE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资料袋 1个</w:t>
      </w:r>
    </w:p>
    <w:p w14:paraId="1E90EE85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产品质量合格证 1张</w:t>
      </w:r>
    </w:p>
    <w:p w14:paraId="4D3A2F4A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保修卡 1张</w:t>
      </w:r>
    </w:p>
    <w:p w14:paraId="0B93F235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装箱单 1张</w:t>
      </w:r>
    </w:p>
    <w:p w14:paraId="55806F70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脑电（肌电）导联线 1根</w:t>
      </w:r>
    </w:p>
    <w:p w14:paraId="563BDA27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脑电（肌电）导联线 1根</w:t>
      </w:r>
    </w:p>
    <w:p w14:paraId="05471DE7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脑电（肌电）导联线 1根</w:t>
      </w:r>
    </w:p>
    <w:p w14:paraId="60B7D163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脑电（肌电）导联线 2根</w:t>
      </w:r>
    </w:p>
    <w:p w14:paraId="41BDD9EE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脑电（肌电）导联线 1根</w:t>
      </w:r>
    </w:p>
    <w:p w14:paraId="1A70D01E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心电电极 2个</w:t>
      </w:r>
    </w:p>
    <w:p w14:paraId="478034B5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神经和肌肉刺激器用体表电极 1袋</w:t>
      </w:r>
    </w:p>
    <w:p w14:paraId="5C78196E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毛毡 10个</w:t>
      </w:r>
    </w:p>
    <w:p w14:paraId="12306941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卷尺 2个</w:t>
      </w:r>
    </w:p>
    <w:p w14:paraId="5892EEAF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理线器 2个</w:t>
      </w:r>
    </w:p>
    <w:p w14:paraId="5896F2D0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软件操作指南 1个</w:t>
      </w:r>
    </w:p>
    <w:p w14:paraId="5E549E1A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一体机 1台</w:t>
      </w:r>
    </w:p>
    <w:p w14:paraId="55A5349C">
      <w:pPr>
        <w:pStyle w:val="30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打印机 1台</w:t>
      </w:r>
    </w:p>
    <w:p w14:paraId="2B3BED1B">
      <w:pPr>
        <w:pStyle w:val="30"/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台车 1辆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760298"/>
    <w:multiLevelType w:val="multilevel"/>
    <w:tmpl w:val="33760298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61B"/>
    <w:rsid w:val="000070A8"/>
    <w:rsid w:val="000130EF"/>
    <w:rsid w:val="000139A1"/>
    <w:rsid w:val="00051D2E"/>
    <w:rsid w:val="000A0BD7"/>
    <w:rsid w:val="000C46C9"/>
    <w:rsid w:val="000F7790"/>
    <w:rsid w:val="003669B8"/>
    <w:rsid w:val="003A7D63"/>
    <w:rsid w:val="004C761B"/>
    <w:rsid w:val="00744976"/>
    <w:rsid w:val="007506D5"/>
    <w:rsid w:val="00762ACD"/>
    <w:rsid w:val="008504E2"/>
    <w:rsid w:val="008C2C67"/>
    <w:rsid w:val="009A4CB8"/>
    <w:rsid w:val="00A0717E"/>
    <w:rsid w:val="00AF2A60"/>
    <w:rsid w:val="00CE0CAD"/>
    <w:rsid w:val="00E750D8"/>
    <w:rsid w:val="00FB093F"/>
    <w:rsid w:val="00FC6410"/>
    <w:rsid w:val="040A4AA1"/>
    <w:rsid w:val="284561A9"/>
    <w:rsid w:val="36D30B9F"/>
    <w:rsid w:val="3F852C53"/>
    <w:rsid w:val="673B1CC5"/>
    <w:rsid w:val="6B61460E"/>
    <w:rsid w:val="7BB652A8"/>
    <w:rsid w:val="7ED8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104862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104862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7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104862" w:themeColor="accent1" w:themeShade="BF"/>
      <w:sz w:val="22"/>
      <w:szCs w:val="24"/>
      <w14:ligatures w14:val="standardContextual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1136</Words>
  <Characters>1245</Characters>
  <Lines>9</Lines>
  <Paragraphs>2</Paragraphs>
  <TotalTime>0</TotalTime>
  <ScaleCrop>false</ScaleCrop>
  <LinksUpToDate>false</LinksUpToDate>
  <CharactersWithSpaces>1278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2026-04-30T11:29:00Z</dcterms:created>
  <dc:creator>Jin-Tao Gong/OHC-BJ/OMCC</dc:creator>
  <cp:lastModifiedBy>chan</cp:lastModifiedBy>
  <dcterms:modified xsi:type="dcterms:W3CDTF">2026-09-08T02:28:43Z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eyJoZGlkIjoiMDUxYjZmMzE0MDM3YzMxYjVlNjg2MDUzODYwYTU2NzIiLCJ1c2VySWQiOiIzNjI5MzI3MDcifQ==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F48165F7842F4896AD3257AF59E6A513_12</vt:lpwstr>
  </property>
</Properties>
</file>