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8"/>
          <w:szCs w:val="28"/>
        </w:rPr>
      </w:pPr>
      <w:r>
        <w:rPr>
          <w:rFonts w:hint="eastAsia"/>
          <w:b/>
          <w:bCs/>
          <w:sz w:val="28"/>
          <w:szCs w:val="28"/>
        </w:rPr>
        <w:t>恒温解冻箱参数</w:t>
      </w:r>
    </w:p>
    <w:p>
      <w:pPr>
        <w:rPr>
          <w:rFonts w:hint="eastAsia"/>
        </w:rPr>
      </w:pP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1. 设备储水量不少于90kg，循环能力≥40kg/min，解冻腔体可分解。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2. 采用水浴恒温循环加</w:t>
      </w:r>
      <w:bookmarkStart w:id="0" w:name="_GoBack"/>
      <w:bookmarkEnd w:id="0"/>
      <w:r>
        <w:rPr>
          <w:rFonts w:hint="eastAsia"/>
          <w:sz w:val="28"/>
          <w:szCs w:val="28"/>
        </w:rPr>
        <w:t>热工作模式，控温范围为室温至60℃，控温精度达到±0.1℃。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3. 标准血浆解冻时间≤15分钟，单次可解冻血浆数量大于28袋，满足批量使用需求。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4. 采用高清触摸显示屏，实时显示温度/时间变化曲线。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5. 可连接移动储存设备，实现数据可导出查询。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6. 有多种解冻模式，包括常规解冻、快速解冻、连续解冻，以适应不同容量冰冻血浆、冷沉淀和血小板等血液制品的解冻复温。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7. 可实现待机自动补水、一键清洗功能。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8. 具备超温报警、缺水保护、断电记忆、防干烧保护功能。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9. 内胆采用304不锈钢材质，防水防腐、耐腐蚀、易清洗。</w:t>
      </w:r>
    </w:p>
    <w:p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10. 其他配套参数：标准供电电压AC220V/50Hz。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kNzI2OTk1M2UyMDM0OGUyN2JkMGQ1Mzg3NDgzMjIifQ=="/>
  </w:docVars>
  <w:rsids>
    <w:rsidRoot w:val="00000000"/>
    <w:rsid w:val="2ABE3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2026-09-08T08:13:16Z</dcterms:created>
  <dc:creator>Administrator</dc:creator>
  <cp:lastModifiedBy>Administrator</cp:lastModifiedBy>
  <dcterms:modified xsi:type="dcterms:W3CDTF">2026-09-08T08:13:35Z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F7D7567BD48F466983251F16D51EBCE9_12</vt:lpwstr>
  </property>
</Properties>
</file>