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858AF">
      <w:pPr>
        <w:jc w:val="center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中性粒细胞载脂蛋白(HNL)检测仪技术参数要求</w:t>
      </w:r>
    </w:p>
    <w:p w14:paraId="0C98B054"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（2026年设备采购预算</w:t>
      </w:r>
      <w:r>
        <w:rPr>
          <w:rFonts w:hint="eastAsia"/>
          <w:sz w:val="24"/>
          <w:szCs w:val="24"/>
          <w:lang w:val="en-US" w:eastAsia="zh-CN"/>
        </w:rPr>
        <w:t>，本院部门诊临检室使用，1台预算2万元</w:t>
      </w:r>
      <w:r>
        <w:rPr>
          <w:rFonts w:hint="default"/>
          <w:sz w:val="24"/>
          <w:szCs w:val="24"/>
          <w:lang w:val="en-US" w:eastAsia="zh-CN"/>
        </w:rPr>
        <w:t>）</w:t>
      </w:r>
      <w:bookmarkStart w:id="0" w:name="_GoBack"/>
      <w:bookmarkEnd w:id="0"/>
    </w:p>
    <w:p w14:paraId="174FEA05">
      <w:pPr>
        <w:jc w:val="center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35F2DC8E">
      <w:pPr>
        <w:numPr>
          <w:ilvl w:val="0"/>
          <w:numId w:val="0"/>
        </w:numPr>
        <w:spacing w:line="360" w:lineRule="auto"/>
        <w:ind w:firstLine="220" w:firstLineChars="100"/>
        <w:rPr>
          <w:rFonts w:hint="eastAsia" w:eastAsia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1、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本设备用于</w:t>
      </w:r>
      <w:r>
        <w:rPr>
          <w:rFonts w:hint="eastAsia"/>
          <w:sz w:val="22"/>
          <w:szCs w:val="22"/>
          <w:lang w:val="en-US" w:eastAsia="zh-CN"/>
        </w:rPr>
        <w:t>中性粒细胞载脂蛋白（HNL）的自动化定量检测，用于</w:t>
      </w:r>
      <w:r>
        <w:rPr>
          <w:rFonts w:ascii="宋体" w:hAnsi="宋体" w:eastAsia="宋体" w:cs="宋体"/>
          <w:sz w:val="24"/>
          <w:szCs w:val="24"/>
        </w:rPr>
        <w:t>细菌性血流感染、脓毒症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ascii="宋体" w:hAnsi="宋体" w:eastAsia="宋体" w:cs="宋体"/>
          <w:sz w:val="24"/>
          <w:szCs w:val="24"/>
        </w:rPr>
        <w:t>辅助鉴别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诊断。</w:t>
      </w:r>
    </w:p>
    <w:p w14:paraId="38F3D8D3">
      <w:pPr>
        <w:numPr>
          <w:ilvl w:val="0"/>
          <w:numId w:val="0"/>
        </w:numPr>
        <w:spacing w:line="360" w:lineRule="auto"/>
        <w:rPr>
          <w:rFonts w:hint="default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▲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2、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设备检测原理：</w:t>
      </w:r>
      <w:r>
        <w:rPr>
          <w:rFonts w:ascii="宋体" w:hAnsi="宋体" w:eastAsia="宋体" w:cs="宋体"/>
          <w:sz w:val="24"/>
          <w:szCs w:val="24"/>
        </w:rPr>
        <w:t>免疫荧光定量法</w:t>
      </w:r>
      <w:r>
        <w:rPr>
          <w:rFonts w:hint="eastAsia"/>
          <w:sz w:val="22"/>
          <w:szCs w:val="22"/>
          <w:lang w:val="en-US" w:eastAsia="zh-CN"/>
        </w:rPr>
        <w:t>或荧光免疫层析法</w:t>
      </w:r>
    </w:p>
    <w:p w14:paraId="7DA6EE9D">
      <w:pPr>
        <w:ind w:firstLine="220" w:firstLineChars="1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设备须为</w:t>
      </w:r>
      <w:r>
        <w:rPr>
          <w:rFonts w:ascii="宋体" w:hAnsi="宋体" w:eastAsia="宋体" w:cs="宋体"/>
          <w:sz w:val="24"/>
          <w:szCs w:val="24"/>
        </w:rPr>
        <w:t>自动化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定量检测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支持</w:t>
      </w:r>
      <w:r>
        <w:rPr>
          <w:rFonts w:ascii="宋体" w:hAnsi="宋体" w:eastAsia="宋体" w:cs="宋体"/>
          <w:sz w:val="24"/>
          <w:szCs w:val="24"/>
        </w:rPr>
        <w:t xml:space="preserve"> LIS 双向通讯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28E9B39A">
      <w:pPr>
        <w:numPr>
          <w:ilvl w:val="0"/>
          <w:numId w:val="0"/>
        </w:numPr>
        <w:spacing w:line="360" w:lineRule="auto"/>
        <w:rPr>
          <w:rFonts w:hint="default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▲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4、配套</w:t>
      </w:r>
      <w:r>
        <w:rPr>
          <w:rFonts w:hint="eastAsia"/>
          <w:sz w:val="22"/>
          <w:szCs w:val="22"/>
          <w:lang w:val="en-US" w:eastAsia="zh-CN"/>
        </w:rPr>
        <w:t>检测项目：配套的中性粒细胞载脂蛋白（HNL）测定试剂盒须获得</w:t>
      </w:r>
      <w:r>
        <w:rPr>
          <w:rFonts w:hint="eastAsia" w:ascii="宋体" w:hAnsi="宋体" w:eastAsia="宋体" w:cs="宋体"/>
          <w:color w:val="auto"/>
          <w:sz w:val="24"/>
          <w:u w:val="none"/>
        </w:rPr>
        <w:t>需获得</w:t>
      </w:r>
      <w:r>
        <w:rPr>
          <w:rFonts w:ascii="宋体" w:hAnsi="宋体" w:eastAsia="宋体" w:cs="宋体"/>
          <w:sz w:val="24"/>
          <w:szCs w:val="24"/>
        </w:rPr>
        <w:t>NMPA</w:t>
      </w:r>
      <w:r>
        <w:rPr>
          <w:rFonts w:hint="eastAsia" w:ascii="宋体" w:hAnsi="宋体" w:eastAsia="宋体" w:cs="宋体"/>
          <w:color w:val="auto"/>
          <w:sz w:val="24"/>
          <w:u w:val="none"/>
        </w:rPr>
        <w:t>医疗器械注册证</w:t>
      </w:r>
    </w:p>
    <w:p w14:paraId="3908826D"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▲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适用</w:t>
      </w:r>
      <w:r>
        <w:rPr>
          <w:rFonts w:hint="eastAsia"/>
          <w:sz w:val="22"/>
          <w:szCs w:val="22"/>
          <w:lang w:val="en-US" w:eastAsia="zh-CN"/>
        </w:rPr>
        <w:t>标本类型：血清/血浆/全血/末梢血</w:t>
      </w:r>
    </w:p>
    <w:p w14:paraId="5481CD3F">
      <w:pPr>
        <w:numPr>
          <w:ilvl w:val="0"/>
          <w:numId w:val="0"/>
        </w:numPr>
        <w:spacing w:line="360" w:lineRule="auto"/>
        <w:ind w:firstLine="220" w:firstLineChars="10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6、进样方式：采用自动扫码、自动吸样的全自动进样方式。</w:t>
      </w:r>
    </w:p>
    <w:p w14:paraId="6FDEDCE8">
      <w:pPr>
        <w:numPr>
          <w:ilvl w:val="0"/>
          <w:numId w:val="0"/>
        </w:numPr>
        <w:spacing w:line="360" w:lineRule="auto"/>
        <w:ind w:firstLine="220" w:firstLineChars="100"/>
        <w:rPr>
          <w:rFonts w:hint="default"/>
          <w:sz w:val="22"/>
          <w:szCs w:val="22"/>
          <w:lang w:val="en-US" w:eastAsia="zh-CN"/>
        </w:rPr>
      </w:pP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7、</w:t>
      </w:r>
      <w:r>
        <w:rPr>
          <w:rFonts w:hint="eastAsia"/>
          <w:sz w:val="22"/>
          <w:szCs w:val="22"/>
          <w:lang w:val="en-US" w:eastAsia="zh-CN"/>
        </w:rPr>
        <w:t>适配标本管：5ml（</w:t>
      </w:r>
      <w:r>
        <w:rPr>
          <w:rFonts w:ascii="宋体" w:hAnsi="宋体" w:eastAsia="宋体" w:cs="宋体"/>
          <w:sz w:val="24"/>
          <w:szCs w:val="24"/>
        </w:rPr>
        <w:t>φ13×75mm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/>
          <w:sz w:val="22"/>
          <w:szCs w:val="22"/>
          <w:lang w:val="en-US" w:eastAsia="zh-CN"/>
        </w:rPr>
        <w:t>真空采样管/  0.5ml子弹头（末梢血模式）</w:t>
      </w:r>
    </w:p>
    <w:p w14:paraId="40537CFD">
      <w:pPr>
        <w:numPr>
          <w:ilvl w:val="0"/>
          <w:numId w:val="0"/>
        </w:numPr>
        <w:spacing w:line="360" w:lineRule="auto"/>
        <w:ind w:firstLine="220" w:firstLineChars="100"/>
        <w:rPr>
          <w:rFonts w:hint="eastAsia"/>
          <w:sz w:val="22"/>
          <w:szCs w:val="22"/>
          <w:lang w:val="en-US" w:eastAsia="zh-CN"/>
        </w:rPr>
      </w:pP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8、检测</w:t>
      </w:r>
      <w:r>
        <w:rPr>
          <w:rFonts w:hint="eastAsia"/>
          <w:sz w:val="22"/>
          <w:szCs w:val="22"/>
          <w:lang w:val="en-US" w:eastAsia="zh-CN"/>
        </w:rPr>
        <w:t>速度：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≥</w:t>
      </w:r>
      <w:r>
        <w:rPr>
          <w:rFonts w:hint="eastAsia"/>
          <w:sz w:val="22"/>
          <w:szCs w:val="22"/>
          <w:lang w:val="en-US" w:eastAsia="zh-CN"/>
        </w:rPr>
        <w:t>50测试/小时。</w:t>
      </w:r>
    </w:p>
    <w:p w14:paraId="71120617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▲</w:t>
      </w:r>
      <w:r>
        <w:rPr>
          <w:rFonts w:hint="eastAsia"/>
          <w:bCs/>
          <w:sz w:val="24"/>
          <w:lang w:val="en-US" w:eastAsia="zh-CN"/>
        </w:rPr>
        <w:t>9、检测</w:t>
      </w:r>
      <w:r>
        <w:rPr>
          <w:rStyle w:val="4"/>
          <w:rFonts w:ascii="宋体" w:hAnsi="宋体" w:eastAsia="宋体" w:cs="宋体"/>
          <w:b w:val="0"/>
          <w:bCs/>
          <w:color w:val="000000"/>
          <w:sz w:val="24"/>
          <w:szCs w:val="24"/>
        </w:rPr>
        <w:t>精密度</w:t>
      </w:r>
      <w:r>
        <w:rPr>
          <w:rFonts w:ascii="宋体" w:hAnsi="宋体" w:eastAsia="宋体" w:cs="宋体"/>
          <w:b w:val="0"/>
          <w:bCs/>
          <w:sz w:val="24"/>
          <w:szCs w:val="24"/>
        </w:rPr>
        <w:t>：CV＜1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5</w:t>
      </w:r>
      <w:r>
        <w:rPr>
          <w:rFonts w:ascii="宋体" w:hAnsi="宋体" w:eastAsia="宋体" w:cs="宋体"/>
          <w:b w:val="0"/>
          <w:bCs/>
          <w:sz w:val="24"/>
          <w:szCs w:val="24"/>
        </w:rPr>
        <w:t>%。</w:t>
      </w:r>
    </w:p>
    <w:p w14:paraId="7C755F4B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▲</w:t>
      </w:r>
      <w:r>
        <w:rPr>
          <w:rStyle w:val="4"/>
          <w:rFonts w:hint="eastAsia" w:ascii="宋体" w:hAnsi="宋体" w:eastAsia="宋体" w:cs="宋体"/>
          <w:b w:val="0"/>
          <w:bCs/>
          <w:color w:val="000000"/>
          <w:sz w:val="24"/>
          <w:szCs w:val="24"/>
          <w:lang w:val="en-US" w:eastAsia="zh-CN"/>
        </w:rPr>
        <w:t>10、检测</w:t>
      </w:r>
      <w:r>
        <w:rPr>
          <w:rStyle w:val="4"/>
          <w:rFonts w:ascii="宋体" w:hAnsi="宋体" w:eastAsia="宋体" w:cs="宋体"/>
          <w:b w:val="0"/>
          <w:bCs/>
          <w:color w:val="000000"/>
          <w:sz w:val="24"/>
          <w:szCs w:val="24"/>
        </w:rPr>
        <w:t>准确度</w:t>
      </w:r>
      <w:r>
        <w:rPr>
          <w:rFonts w:ascii="宋体" w:hAnsi="宋体" w:eastAsia="宋体" w:cs="宋体"/>
          <w:b w:val="0"/>
          <w:bCs/>
          <w:sz w:val="24"/>
          <w:szCs w:val="24"/>
        </w:rPr>
        <w:t>：回收率 85%～115%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。</w:t>
      </w:r>
    </w:p>
    <w:p w14:paraId="74D398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240" w:firstLineChars="100"/>
        <w:jc w:val="left"/>
        <w:rPr>
          <w:color w:val="000000"/>
          <w:sz w:val="24"/>
          <w:szCs w:val="24"/>
        </w:rPr>
      </w:pPr>
      <w:r>
        <w:rPr>
          <w:rFonts w:hint="eastAsia" w:ascii="Symbol" w:hAnsi="Symbol" w:eastAsia="宋体" w:cs="Symbol"/>
          <w:sz w:val="24"/>
          <w:lang w:val="en-US" w:eastAsia="zh-CN"/>
        </w:rPr>
        <w:t>11、</w:t>
      </w:r>
      <w:r>
        <w:rPr>
          <w:color w:val="000000"/>
          <w:sz w:val="24"/>
          <w:szCs w:val="24"/>
        </w:rPr>
        <w:t>抗干扰</w:t>
      </w:r>
      <w:r>
        <w:rPr>
          <w:rFonts w:hint="eastAsia"/>
          <w:color w:val="000000"/>
          <w:sz w:val="24"/>
          <w:szCs w:val="24"/>
          <w:lang w:val="en-US" w:eastAsia="zh-CN"/>
        </w:rPr>
        <w:t>能力</w:t>
      </w:r>
      <w:r>
        <w:rPr>
          <w:color w:val="000000"/>
          <w:sz w:val="24"/>
          <w:szCs w:val="24"/>
        </w:rPr>
        <w:t>：有效耐受溶血、脂血、黄疸常规程度干扰</w:t>
      </w:r>
      <w:r>
        <w:rPr>
          <w:rFonts w:hint="eastAsia"/>
          <w:color w:val="000000"/>
          <w:sz w:val="24"/>
          <w:szCs w:val="24"/>
          <w:lang w:eastAsia="zh-CN"/>
        </w:rPr>
        <w:t>。</w:t>
      </w:r>
      <w:r>
        <w:rPr>
          <w:color w:val="000000"/>
          <w:sz w:val="24"/>
          <w:szCs w:val="24"/>
        </w:rPr>
        <w:t>不与中性粒细胞弹性蛋白酶、乳铁蛋白等中性粒细胞蛋白发生明显交叉反应；</w:t>
      </w:r>
    </w:p>
    <w:p w14:paraId="58315C5C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401987"/>
    <w:rsid w:val="2110721D"/>
    <w:rsid w:val="41A57E1E"/>
    <w:rsid w:val="442043FD"/>
    <w:rsid w:val="46AE4DFB"/>
    <w:rsid w:val="4B9A25AA"/>
    <w:rsid w:val="54613BF0"/>
    <w:rsid w:val="6D643238"/>
    <w:rsid w:val="74ED362C"/>
    <w:rsid w:val="7877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379</Characters>
  <Lines>0</Lines>
  <Paragraphs>0</Paragraphs>
  <TotalTime>0</TotalTime>
  <ScaleCrop>false</ScaleCrop>
  <LinksUpToDate>false</LinksUpToDate>
  <CharactersWithSpaces>384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2026-07-24T04:07:00Z</dcterms:created>
  <dc:creator>Administrator</dc:creator>
  <cp:lastModifiedBy>雷泽洪</cp:lastModifiedBy>
  <dcterms:modified xsi:type="dcterms:W3CDTF">2026-07-29T02:39:44Z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eyJoZGlkIjoiZjU4Yzk3YWJkYjRiM2E2NzIyNzgzODJjOGUwMDA3MDIiLCJ1c2VySWQiOiIzNzk1MjMzNTYifQ==</vt:lpwstr>
  </property>
  <property fmtid="{D5CDD505-2E9C-101B-9397-08002B2CF9AE}" pid="4" name="ICV">
    <vt:lpwstr>28750926BACD40799272A2A270F6D37E_12</vt:lpwstr>
  </property>
</Properties>
</file>