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9DE71A">
      <w:pPr>
        <w:pStyle w:val="3"/>
        <w:spacing w:line="360" w:lineRule="auto"/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NextSeq 550Dx 测序仪和MiSeqDx 测序仪维保要求</w:t>
      </w:r>
    </w:p>
    <w:p w14:paraId="5C5BC379">
      <w:pPr>
        <w:pStyle w:val="3"/>
        <w:spacing w:line="360" w:lineRule="auto"/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</w:rPr>
      </w:pPr>
    </w:p>
    <w:p w14:paraId="38BB9578">
      <w:pPr>
        <w:pStyle w:val="3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维保仪器名称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Illumina NextSeq 550Dx 测序仪</w:t>
      </w:r>
      <w:r>
        <w:rPr>
          <w:rFonts w:hint="eastAsia" w:cs="宋体"/>
          <w:sz w:val="24"/>
          <w:szCs w:val="24"/>
          <w:lang w:eastAsia="zh-CN"/>
        </w:rPr>
        <w:t>，</w:t>
      </w:r>
      <w:r>
        <w:rPr>
          <w:rFonts w:hint="eastAsia" w:cs="宋体"/>
          <w:sz w:val="24"/>
          <w:szCs w:val="24"/>
          <w:lang w:val="en-US" w:eastAsia="zh-CN"/>
        </w:rPr>
        <w:t>型号：</w:t>
      </w:r>
      <w:r>
        <w:rPr>
          <w:rFonts w:hint="eastAsia" w:ascii="宋体" w:hAnsi="宋体" w:eastAsia="宋体" w:cs="宋体"/>
          <w:sz w:val="24"/>
          <w:szCs w:val="24"/>
        </w:rPr>
        <w:t>NextSeq 550Dx</w:t>
      </w:r>
      <w:r>
        <w:rPr>
          <w:rFonts w:hint="eastAsia" w:cs="宋体"/>
          <w:sz w:val="24"/>
          <w:szCs w:val="24"/>
          <w:lang w:eastAsia="zh-CN"/>
        </w:rPr>
        <w:t>。</w:t>
      </w:r>
    </w:p>
    <w:p w14:paraId="7397342A">
      <w:pPr>
        <w:pStyle w:val="3"/>
        <w:numPr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Illumina MiSeqDx 测序仪</w:t>
      </w:r>
      <w:r>
        <w:rPr>
          <w:rFonts w:hint="eastAsia" w:cs="宋体"/>
          <w:sz w:val="24"/>
          <w:szCs w:val="24"/>
          <w:lang w:eastAsia="zh-CN"/>
        </w:rPr>
        <w:t>，</w:t>
      </w:r>
      <w:r>
        <w:rPr>
          <w:rFonts w:hint="eastAsia" w:cs="宋体"/>
          <w:sz w:val="24"/>
          <w:szCs w:val="24"/>
          <w:lang w:val="en-US" w:eastAsia="zh-CN"/>
        </w:rPr>
        <w:t>型号：</w:t>
      </w:r>
      <w:r>
        <w:rPr>
          <w:rFonts w:hint="eastAsia" w:ascii="宋体" w:hAnsi="宋体" w:eastAsia="宋体" w:cs="宋体"/>
          <w:sz w:val="24"/>
          <w:szCs w:val="24"/>
        </w:rPr>
        <w:t>MiSeqDx</w:t>
      </w:r>
      <w:r>
        <w:rPr>
          <w:rFonts w:hint="eastAsia" w:cs="宋体"/>
          <w:sz w:val="24"/>
          <w:szCs w:val="24"/>
          <w:lang w:eastAsia="zh-CN"/>
        </w:rPr>
        <w:t>。</w:t>
      </w:r>
    </w:p>
    <w:p w14:paraId="1EF20879">
      <w:pPr>
        <w:pStyle w:val="3"/>
        <w:spacing w:line="360" w:lineRule="auto"/>
        <w:ind w:left="720" w:hanging="720" w:hangingChars="3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二、维保服务等级要求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2F0C5681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服务商应为</w:t>
      </w:r>
      <w:r>
        <w:rPr>
          <w:rFonts w:hint="eastAsia" w:ascii="宋体" w:hAnsi="宋体" w:eastAsia="宋体" w:cs="宋体"/>
          <w:sz w:val="24"/>
          <w:szCs w:val="24"/>
        </w:rPr>
        <w:t>Illumina</w:t>
      </w:r>
      <w:r>
        <w:rPr>
          <w:rFonts w:hint="eastAsia" w:ascii="宋体" w:hAnsi="宋体" w:eastAsia="宋体" w:cs="宋体"/>
          <w:sz w:val="24"/>
          <w:szCs w:val="24"/>
        </w:rPr>
        <w:t>官方原保机构或拥有</w:t>
      </w:r>
      <w:r>
        <w:rPr>
          <w:rFonts w:hint="eastAsia" w:ascii="宋体" w:hAnsi="宋体" w:eastAsia="宋体" w:cs="宋体"/>
          <w:sz w:val="24"/>
          <w:szCs w:val="24"/>
        </w:rPr>
        <w:t>Illumina</w:t>
      </w:r>
      <w:r>
        <w:rPr>
          <w:rFonts w:hint="eastAsia" w:ascii="宋体" w:hAnsi="宋体" w:eastAsia="宋体" w:cs="宋体"/>
          <w:sz w:val="24"/>
          <w:szCs w:val="24"/>
        </w:rPr>
        <w:t>官方授权资质</w:t>
      </w:r>
      <w:r>
        <w:rPr>
          <w:rFonts w:hint="eastAsia" w:ascii="宋体" w:hAnsi="宋体" w:eastAsia="宋体" w:cs="宋体"/>
          <w:sz w:val="24"/>
          <w:szCs w:val="24"/>
        </w:rPr>
        <w:t>。维保服务应覆盖仪器维修配件、人工、差旅、故障维修、预防性维护、运行确认、应用支持、硬件及控制软件更新、因仪器故障导致的试剂损失补偿等内容。</w:t>
      </w:r>
    </w:p>
    <w:p w14:paraId="7F1DE32F">
      <w:pPr>
        <w:pStyle w:val="3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维保服务范围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28286B5C">
      <w:pPr>
        <w:pStyle w:val="3"/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合同期间，服务商须提供 NextSeq 550Dx 测序仪和 MiSeqDx 测序仪整机保修服务。维保范围应覆盖测序仪主机、控制计算机、控制软件、数据采集系统、流体系统、光学成像系统、温控系统、运动控制系统、电源系统及原厂配置的关键功能模块。</w:t>
      </w:r>
    </w:p>
    <w:p w14:paraId="53A58ED1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维保期间，因设备故障产生的维修、保养、更换配件、人工、差旅等费用均由服务商承担，除合同约定费用外，不再另行收取其他费用。因仪器故障导致测序运行失败并造成试剂损失的，提供原厂相应试剂更换或补偿服务。</w:t>
      </w:r>
    </w:p>
    <w:p w14:paraId="1F5E7AD7">
      <w:pPr>
        <w:pStyle w:val="3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服务响应要求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24175FA9">
      <w:pPr>
        <w:pStyle w:val="3"/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服务商须提供 5×24 小时电话和邮件技术支持。考虑医院临床检测连续运行需求，服务商还应保障 24 小时×365 天在线工程师接听报修电话，为用户提供故障诊断、远程支持和应急处理指导。</w:t>
      </w:r>
    </w:p>
    <w:p w14:paraId="46921C56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接到用户维修需求后，服务商应及时响应</w:t>
      </w:r>
      <w:r>
        <w:rPr>
          <w:rFonts w:hint="eastAsia" w:ascii="宋体" w:hAnsi="宋体" w:eastAsia="宋体" w:cs="宋体"/>
          <w:sz w:val="24"/>
          <w:szCs w:val="24"/>
        </w:rPr>
        <w:t>，在接到用户维修需求后工作时间两小时内给予回复</w:t>
      </w:r>
      <w:r>
        <w:rPr>
          <w:rFonts w:hint="eastAsia" w:ascii="宋体" w:hAnsi="宋体" w:eastAsia="宋体" w:cs="宋体"/>
          <w:sz w:val="24"/>
          <w:szCs w:val="24"/>
        </w:rPr>
        <w:t>；如远程支持无法解决问题，应安排工程师到场。为满足医院临床检测及本地化服务要求，服务商应承诺原则上</w:t>
      </w:r>
      <w:r>
        <w:rPr>
          <w:rFonts w:hint="eastAsia" w:ascii="宋体" w:hAnsi="宋体" w:eastAsia="宋体" w:cs="宋体"/>
          <w:sz w:val="24"/>
          <w:szCs w:val="24"/>
        </w:rPr>
        <w:t>在配件到达后</w:t>
      </w:r>
      <w:r>
        <w:rPr>
          <w:rFonts w:hint="eastAsia" w:ascii="宋体" w:hAnsi="宋体" w:eastAsia="宋体" w:cs="宋体"/>
          <w:sz w:val="24"/>
          <w:szCs w:val="24"/>
        </w:rPr>
        <w:t>不超过 24 小时到达现场提供服务，确保设备尽快恢复正常运行。</w:t>
      </w:r>
    </w:p>
    <w:p w14:paraId="19B8A6E9">
      <w:pPr>
        <w:pStyle w:val="3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预防性维护要求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3FE7DA79">
      <w:pPr>
        <w:pStyle w:val="3"/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服务商应按照 Illumina 原厂技术标准和设备使用要求，对 NextSeq 550Dx 测序仪和 MiSeqDx 测序仪开展定期预防性维护。每台设备每年至少开展 1 次原厂标准预防性维护。若设备使用频率较高、承担临床检测任务较重或设备运行状态提示存在风险，应根据医院需求及厂家建议增加维护频次。</w:t>
      </w:r>
    </w:p>
    <w:p w14:paraId="181C87FE">
      <w:pPr>
        <w:pStyle w:val="3"/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预防性维护内容包括但不限于：设备清洁除尘、流体系统检查、试剂仓和样本仓检查、光学成像系统检查、温控系统检查、运动部件检查、密封性检查、电源及环境条件检查、控制软件运行状态检查、系统日志检查、仪器报警记录分析、数据传输状态检查、关键部件状态评估等。</w:t>
      </w:r>
    </w:p>
    <w:p w14:paraId="11DB0118">
      <w:pPr>
        <w:pStyle w:val="3"/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3、</w:t>
      </w:r>
      <w:r>
        <w:rPr>
          <w:rFonts w:hint="eastAsia" w:ascii="宋体" w:hAnsi="宋体" w:eastAsia="宋体" w:cs="宋体"/>
          <w:sz w:val="24"/>
          <w:szCs w:val="24"/>
        </w:rPr>
        <w:t>预防性维护完成后，服务商须提交正式维护报告或 PM 证书，报告内容应包括维护日期、维护内容、检查项目、发现问题、处理措施、设备状态、工程师签名及用户确认。</w:t>
      </w:r>
    </w:p>
    <w:p w14:paraId="746C47AF">
      <w:pPr>
        <w:pStyle w:val="3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运行确认和性能确认要求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744935C1">
      <w:pPr>
        <w:pStyle w:val="3"/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应在完成符合条件的维修、关键模块更换、软件升级、搬迁重装或可能影响仪器性能的重大维护后，也应开展必要的性能确认。确认内容应覆盖运动系统、光学系统、流体系统、温控系统及其他关键运行指标。必要时应根据制造商标准开展性能确认，包括 PhiX 或其他原厂认可质控运行、数据产量、Q30、错误率、簇密度、测序质量及其他关键性能指标评价。</w:t>
      </w:r>
    </w:p>
    <w:p w14:paraId="31590D1E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服务商应提供正式、可审计、可追溯的原厂工作服务报告或证书，满足临床实验室质量管理、ISO 15189、CNAS 或医院内部质量体系文件管理要求。</w:t>
      </w:r>
    </w:p>
    <w:p w14:paraId="6E88A84F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5A99C083">
      <w:pPr>
        <w:pStyle w:val="3"/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安全检查要求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557E93B3">
      <w:pPr>
        <w:pStyle w:val="3"/>
        <w:numPr>
          <w:numId w:val="0"/>
        </w:numPr>
        <w:spacing w:line="360" w:lineRule="auto"/>
        <w:ind w:leftChars="0"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服务商应按照设备生产厂家技术标准及国家、行业和当地相关管理要求，对设备开展安全检查。检查内容包括但不限于机械安全、电气安全、温湿度条件、电源稳定性、UPS 或供电环境、网络连接状态、仪器报警记录、设备运行日志、软件版本、维护记录和数据存储状态等。</w:t>
      </w:r>
    </w:p>
    <w:p w14:paraId="7EB379AB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检查结果应形成书面记录；发现影响设备安全、性能或检测质量的问题时，应提出整改建议并协助科室完成处理。</w:t>
      </w:r>
    </w:p>
    <w:p w14:paraId="611419CC">
      <w:pPr>
        <w:pStyle w:val="3"/>
        <w:spacing w:line="360" w:lineRule="auto"/>
        <w:ind w:left="480" w:hanging="480" w:hanging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八、故障维修要求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57653BA1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设备发生故障时，服务商应提供及时有效的维修服务。维修内容包括但不限于远程诊断、现场故障排查、软件诊断、硬件检测、流体系统维修、光学系统维修、温控系统维修、运动部件维修、控制计算机及软件问题处理、模块更换、系统恢复和运行验证。</w:t>
      </w:r>
    </w:p>
    <w:p w14:paraId="27F96ECC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维修完成后，应提交正式维修报告。报告内容至少包括故障现象、故障原因、处理措施、更换配件名称及型号、维修后验证结果、设备当前运行状态、工程师签名及用户确认。对可能影响检测结果可靠性的故障，应配合实验室完成必要的质量评估、风险分析和性能确认。</w:t>
      </w:r>
    </w:p>
    <w:p w14:paraId="3E88D26E">
      <w:pPr>
        <w:pStyle w:val="3"/>
        <w:spacing w:line="360" w:lineRule="auto"/>
        <w:ind w:left="480" w:hanging="480" w:hanging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九、备件及耗材要求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077A3EFF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服务商须保障维保所需备件供应及时、充足。所有更换的零部件必须为 Illumina 原厂认证合格件或原厂认可的合格备件，并保证质量可靠、来源可追溯。</w:t>
      </w:r>
    </w:p>
    <w:p w14:paraId="53DF6FDA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预防性维护过程中按照制造商标准需更换的维护耗材、易损件及相关检测配件，应由服务商免费提供，不得另行收费。更换后的关键零部件应在服务报告中明确记录名称、规格型号、序列号或批号、数量及更换原因。</w:t>
      </w:r>
    </w:p>
    <w:p w14:paraId="4A924BC0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7CBB55BB">
      <w:pPr>
        <w:pStyle w:val="3"/>
        <w:spacing w:line="360" w:lineRule="auto"/>
        <w:ind w:left="480" w:hanging="480" w:hanging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十、软件、硬件及安全升级要求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47759B94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服务商应按照 Illumina 原厂要求，提供设备运行所必需的控制软件更新、硬件更新、系统补丁、安全升级及必要的配置优化服务。</w:t>
      </w:r>
    </w:p>
    <w:p w14:paraId="4817F051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涉及测序仪控制软件、数据采集软件、分析软件、固件或操作系统的升级，应提前书面告知医院升级内容、影响范围、停机时间及验证方案。升级不得影响医院既有检测流程、数据完整性、结果可追溯性和信息安全。升级完成后，应进行必要的运行验证并形成记录。</w:t>
      </w:r>
    </w:p>
    <w:p w14:paraId="10B71641">
      <w:pPr>
        <w:pStyle w:val="3"/>
        <w:spacing w:line="360" w:lineRule="auto"/>
        <w:ind w:left="480" w:hanging="480" w:hanging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十一、应用支持要求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7AA23FC1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服务商应提供 Illumina 原厂或原厂授权水平的应用支持服务，包括测序运行异常分析、数据质量问题排查、试剂及文库相关问题初步判断、运行参数解释、质控指标分析、故障后复机验证、临床检测流程技术咨询等。</w:t>
      </w:r>
    </w:p>
    <w:p w14:paraId="53599616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对于 NextSeq 550Dx 和 MiSeqDx 涉及 IVD 模式、RUO 模式或临床实验室自建项目运行的情况，服务商应根据设备注册用途、医院管理要求及厂家技术文件提供合规技术支持。</w:t>
      </w:r>
    </w:p>
    <w:p w14:paraId="7908323C">
      <w:pPr>
        <w:pStyle w:val="3"/>
        <w:spacing w:line="360" w:lineRule="auto"/>
        <w:ind w:left="480" w:hanging="480" w:hangingChars="2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十二、远程技术支持及信息安全要求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6D8008C8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服务商应具备远程技术支持能力，在符合医院信息安全管理要求的前提下，为设备提供远程故障诊断、运行状态查看、日志分析、软件问题排查及技术指导服务。</w:t>
      </w:r>
    </w:p>
    <w:p w14:paraId="4116D354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不得远程访问设备，未经医院同意不得复制、导出、保存、传播或使用任何患者信息、检测数据、测序数据、实验室内部资料及医院网络信息。确需调取设备日志或运行数据用于故障分析的，应经科室同意，并做好记录。</w:t>
      </w:r>
    </w:p>
    <w:p w14:paraId="42B36208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2915B56B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</w:p>
    <w:p w14:paraId="711EE4E7">
      <w:pPr>
        <w:pStyle w:val="3"/>
        <w:spacing w:line="360" w:lineRule="auto"/>
        <w:ind w:left="480" w:hanging="480" w:hangingChars="200"/>
        <w:rPr>
          <w:rFonts w:hint="eastAsia" w:cs="宋体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十三、数据安全与保密要求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0A68361B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服务商在维保过程中应严格遵守医院信息安全、数据安全和患者隐私保护要求。未经医院授权，不得接触、复制、导出或留存患者相关信息、检测结果、原始测序数据、分析数据及实验室内部文件。</w:t>
      </w:r>
    </w:p>
    <w:p w14:paraId="4A838047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如因维修、升级或故障分析确需查看设备运行日志、错误文件或质控数据，应限定在故障处理必要范围内，并采取脱敏、最小化访问和记录留痕措施。</w:t>
      </w:r>
    </w:p>
    <w:p w14:paraId="0263822D">
      <w:pPr>
        <w:pStyle w:val="3"/>
        <w:spacing w:line="360" w:lineRule="auto"/>
        <w:ind w:left="240" w:hanging="240" w:hangingChars="1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十四、工程师资质要求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60C49C28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服务商应配备经过 Illumina 原厂培训或原厂授权培训，并具备 NextSeq 550Dx 和 MiSeqDx 设备维修、维护、校准、OQ/PQ 和应用支持能力的工程师。</w:t>
      </w:r>
    </w:p>
    <w:p w14:paraId="27A0489F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服务商须提供工程师有效期内的厂家培训证明、授权服务证明或相关资质证明。现场服务工程师应熟悉临床实验室质量管理要求，能够配合医院完成设备维护记录、验证记录、风险评估和质量体系文件归档。</w:t>
      </w:r>
    </w:p>
    <w:p w14:paraId="2F2DC6C2">
      <w:pPr>
        <w:pStyle w:val="3"/>
        <w:spacing w:line="360" w:lineRule="auto"/>
        <w:ind w:left="240" w:hanging="240" w:hangingChars="1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十五、本地化服务能力要求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0642D1D7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为保障维修及时性，服务商应在广东省内具备稳定的技术支持能力或服务网点，并能提供快速现场服务。广东省内应至少配备 1–2 名具备 Illumina 测序仪服务能力的工程师，能够提供 NextSeq 550Dx 和 MiSeqDx 相关技术支持。</w:t>
      </w:r>
    </w:p>
    <w:p w14:paraId="6E6F4A89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服务商需保证广东省内应具备稳定的原厂常规备件仓库。对于关键备件，应有明确的国内或区域备件供应方案；如国内备件暂缺，应及时协调厂家或海外渠道调货，并向医院明确预计到货时间及维修完成时间，尽量减少设备停机时间。</w:t>
      </w:r>
    </w:p>
    <w:p w14:paraId="00807DE4">
      <w:pPr>
        <w:pStyle w:val="3"/>
        <w:spacing w:line="360" w:lineRule="auto"/>
        <w:ind w:left="240" w:hanging="240" w:hangingChars="100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十六、质量体系及文件要求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5C9C0D4E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1、</w:t>
      </w:r>
      <w:r>
        <w:rPr>
          <w:rFonts w:hint="eastAsia" w:ascii="宋体" w:hAnsi="宋体" w:eastAsia="宋体" w:cs="宋体"/>
          <w:sz w:val="24"/>
          <w:szCs w:val="24"/>
        </w:rPr>
        <w:t>服务商提供的维护、维修、升级、OQ/PQ、性能确认、备件更换及应用支持，均应形成完整、真实、可追溯的服务文件。</w:t>
      </w:r>
    </w:p>
    <w:p w14:paraId="156CEBE4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cs="宋体"/>
          <w:sz w:val="24"/>
          <w:szCs w:val="24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szCs w:val="24"/>
        </w:rPr>
        <w:t>所有报告应至少包括服务日期、设备名称、设备型号、设备序列号、服务内容、检查结果、问题描述、处理措施、验证结果、配件更换情况、工程师签名及用户确认。相关文件应满足医院临床实验室质量管理、ISO 15189、CNAS 认可和内部审计要求。</w:t>
      </w:r>
    </w:p>
    <w:p w14:paraId="278A8C54">
      <w:pPr>
        <w:pStyle w:val="3"/>
        <w:spacing w:line="360" w:lineRule="auto"/>
        <w:rPr>
          <w:rFonts w:hint="eastAsia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十七、服务效果要求</w:t>
      </w:r>
      <w:r>
        <w:rPr>
          <w:rFonts w:hint="eastAsia" w:cs="宋体"/>
          <w:sz w:val="24"/>
          <w:szCs w:val="24"/>
          <w:lang w:eastAsia="zh-CN"/>
        </w:rPr>
        <w:t>：</w:t>
      </w:r>
    </w:p>
    <w:p w14:paraId="26C41F1B">
      <w:pPr>
        <w:pStyle w:val="3"/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服务商应保证维保后设备处于安全、稳定、可靠的运行状态，满足临床检测、科研检测及实验室质量管理要求。对因维修不彻底、配件质量问题、软件升级异常或服务不及时造成设备反复故障、检测中断或质量风险的，服务商应承担相应整改责任，并配合医院完成原因分析和持续改进。</w:t>
      </w:r>
    </w:p>
    <w:p w14:paraId="54149A4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24D084F"/>
    <w:multiLevelType w:val="singleLevel"/>
    <w:tmpl w:val="E24D084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bordersDoNotSurroundHeader w:val="1"/>
  <w:bordersDoNotSurroundFooter w:val="1"/>
  <w:hideSpellingErrors/>
  <w:hideGrammaticalError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B7"/>
    <w:rsid w:val="00486AB7"/>
    <w:rsid w:val="008B7379"/>
    <w:rsid w:val="00B72B40"/>
    <w:rsid w:val="00FD4B11"/>
    <w:rsid w:val="60861E0C"/>
    <w:rsid w:val="623E12A5"/>
    <w:rsid w:val="69D22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/>
      <w:kern w:val="0"/>
      <w:sz w:val="24"/>
    </w:rPr>
  </w:style>
  <w:style w:type="character" w:styleId="6">
    <w:name w:val="annotation reference"/>
    <w:basedOn w:val="5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3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2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3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3900C9E9-9FE3-45DD-8C42-5B5839360A03}">
  <ds:schemaRefs/>
</ds:datastoreItem>
</file>

<file path=customXml/itemProps2.xml><?xml version="1.0" encoding="utf-8"?>
<ds:datastoreItem xmlns:ds="http://schemas.openxmlformats.org/officeDocument/2006/customXml" ds:itemID="{86952433-92A5-4F97-8184-60C04EB6DC9C}">
  <ds:schemaRefs/>
</ds:datastoreItem>
</file>

<file path=customXml/itemProps3.xml><?xml version="1.0" encoding="utf-8"?>
<ds:datastoreItem xmlns:ds="http://schemas.openxmlformats.org/officeDocument/2006/customXml" ds:itemID="{1CCB027A-DC11-4FC3-8E20-60D6EE7798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3059</Words>
  <Characters>3270</Characters>
  <Lines>24</Lines>
  <Paragraphs>6</Paragraphs>
  <TotalTime>9</TotalTime>
  <ScaleCrop>false</ScaleCrop>
  <LinksUpToDate>false</LinksUpToDate>
  <CharactersWithSpaces>3341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2026-07-08T03:25:00Z</dcterms:created>
  <dc:creator>Microsoft Office User</dc:creator>
  <cp:lastModifiedBy>雷泽洪</cp:lastModifiedBy>
  <dcterms:modified xsi:type="dcterms:W3CDTF">2026-07-08T06:47:30Z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BD0548A523DA42C78589B2FE5FE70314_13</vt:lpwstr>
  </property>
  <property fmtid="{D5CDD505-2E9C-101B-9397-08002B2CF9AE}" pid="3" name="KSOTemplateDocerSaveRecord">
    <vt:lpwstr>eyJoZGlkIjoiZjU4Yzk3YWJkYjRiM2E2NzIyNzgzODJjOGUwMDA3MDIiLCJ1c2VySWQiOiIzNzk1MjMzNTYifQ==</vt:lpwstr>
  </property>
  <property fmtid="{D5CDD505-2E9C-101B-9397-08002B2CF9AE}" pid="4" name="KSOProductBuildVer">
    <vt:lpwstr>2052-12.1.0.26895</vt:lpwstr>
  </property>
</Properties>
</file>