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76E68">
      <w:pPr>
        <w:jc w:val="center"/>
        <w:rPr>
          <w:rFonts w:hint="default" w:eastAsia="仿宋"/>
          <w:lang w:val="en-US" w:eastAsia="zh-CN"/>
        </w:rPr>
      </w:pPr>
      <w:r>
        <w:rPr>
          <w:rFonts w:hint="eastAsia"/>
        </w:rPr>
        <w:t>病理全流程信息管理系统</w:t>
      </w:r>
      <w:r>
        <w:rPr>
          <w:rFonts w:hint="eastAsia"/>
          <w:lang w:val="en-US" w:eastAsia="zh-CN"/>
        </w:rPr>
        <w:t>升级项目</w:t>
      </w:r>
    </w:p>
    <w:p w14:paraId="01967F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本项目建设病理全流程信息管理系统ISO15189 认可管理系统，实现病理诊断全链条的标准化、规范化、信息化管理，全面提升病理科的诊疗服务质量、运营效率及管理水平，助力科室顺利通过ISO15189医学实验室质量和能力认可，为临床诊疗、科研教学及医院精细化管理提供坚实的病理数据支撑。通过本项目的实施，将有效解决传统病理管理的痛点问题：其一，规范病理诊疗流程，减少人为差错，提升病理诊断的准确性和时效性，为临床提供更可靠的诊断依据；其二，实现病理信息的集中管理与共享，提高科室运营效率，降低管理成本；其三，构建完善的质量管理体系，满足 ISO15189 认可的各项要求，提升实验室的核心竞争力；其四，积累丰富的病理数据资源，为临床科研、教学及医院管理决策提供数据驱动的支持。本项目的建设应符合医疗行业高质量发展的趋势，对提升医院的医疗服务能力、保障医疗质量与安全具有重要的现实意义和长远价值。</w:t>
      </w:r>
    </w:p>
    <w:p w14:paraId="22F113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1.支持不同厂商的数据库，信创数据库、中间件及操作系统。</w:t>
      </w:r>
    </w:p>
    <w:p w14:paraId="740F6F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2.支持各种主流操作系统，同时支持 32 位及 64 位操作平台，信创操作系统。</w:t>
      </w:r>
    </w:p>
    <w:p w14:paraId="7F78E4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3.支持国家信创战略，满足国产化适配和信创云部署要求服务器操作系统、中间件、数据库及终端操作系统和国产化浏览器等兼容适配，国产化部署不影响性能，系统安全性高、稳定性好、扩展性强；整体项目实行国产化标准进行实施，为保障稳定安全运行，按照站库分离模式部署。</w:t>
      </w:r>
    </w:p>
    <w:p w14:paraId="723E3C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</w:rPr>
        <w:t>.系统遵循 HL7、IHE 国际标准，符合国家卫健委《医院信息系统功能规范》，采用成熟的、先进的及符合国际标准的系统结构、计算机技术、通讯技术、数据库技术、存储技术和网络技术。为杜绝形成信息孤岛，系统需符合 IHE（Integrating theHealthcareEnterprise）医疗信息系统集成规范。支持 HL7 标准,WebService或中间件方式的方式。</w:t>
      </w:r>
    </w:p>
    <w:p w14:paraId="73A412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</w:rPr>
        <w:t>.项目实施完成后应要求符合国家电子病历应用评价六级及以上、互联互通评级标准五级乙等及以上、智慧服务三级及以上、智慧管理三级及以上评审建设标准要求和规范的最高标准，如不符合须免费在医院评审时给医院提供系统改造、升级服务。</w:t>
      </w:r>
    </w:p>
    <w:p w14:paraId="7C269A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</w:rPr>
        <w:t>.系统架构要求：采用信息管理系统主流的 B/S 多层架构技术，保障系统平台的稳定性、易用性、可扩展性。系统后期功能模块的新增、修改原则上不能频繁影响用户使用。</w:t>
      </w:r>
    </w:p>
    <w:p w14:paraId="13CAA8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</w:rPr>
        <w:t>.硬件兼容：须兼容医院现有及将来采购的的所有品牌设备，包括但不限于目前科室使用的仪器等所有的设备，如玻片打印机、包埋盒打印机、免疫组化全自动染色设备、数字切片扫描仪设备、大体摄像头、显微镜等。</w:t>
      </w:r>
    </w:p>
    <w:p w14:paraId="3210C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8.产品不满足业务需求情况时，可以根据医院要求开发满足医院要求的功能模块。</w:t>
      </w:r>
    </w:p>
    <w:p w14:paraId="38D1CD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</w:rPr>
        <w:t>.数智化病理系统的全部功能同时在线使用License应无数量限制。</w:t>
      </w:r>
    </w:p>
    <w:p w14:paraId="7C2A49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</w:rPr>
        <w:t>.信息系统符合CMA/CNAS评审要求，须提供认证的软件测试报告，报告中须包含送检、接收、取材、技术、诊断、质控功能的符合性证明。</w:t>
      </w:r>
    </w:p>
    <w:p w14:paraId="57E525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 xml:space="preserve">11.本项目覆盖总院区、新院区应用，满足多院区工作模式，软硬件为本地化部署。根据采购人操作习惯、管理等需使用移动端场景要求，需提供招标需求相应功能的移动端软件模块（支持鸿蒙、IOS、Android或同等功能系统）。 </w:t>
      </w:r>
    </w:p>
    <w:p w14:paraId="7BD4C2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20" w:lineRule="exact"/>
        <w:textAlignment w:val="auto"/>
        <w:rPr>
          <w:rFonts w:hint="default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977"/>
        <w:gridCol w:w="1798"/>
        <w:gridCol w:w="3719"/>
      </w:tblGrid>
      <w:tr w14:paraId="55C0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28" w:type="dxa"/>
            <w:vAlign w:val="center"/>
          </w:tcPr>
          <w:p w14:paraId="36663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977" w:type="dxa"/>
            <w:vAlign w:val="center"/>
          </w:tcPr>
          <w:p w14:paraId="16602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软件模块</w:t>
            </w:r>
          </w:p>
        </w:tc>
        <w:tc>
          <w:tcPr>
            <w:tcW w:w="1798" w:type="dxa"/>
            <w:vAlign w:val="center"/>
          </w:tcPr>
          <w:p w14:paraId="0152F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功能模块</w:t>
            </w:r>
          </w:p>
        </w:tc>
        <w:tc>
          <w:tcPr>
            <w:tcW w:w="3719" w:type="dxa"/>
            <w:vAlign w:val="center"/>
          </w:tcPr>
          <w:p w14:paraId="7F74F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子功能模块</w:t>
            </w:r>
          </w:p>
        </w:tc>
      </w:tr>
      <w:tr w14:paraId="278B0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restart"/>
            <w:vAlign w:val="center"/>
          </w:tcPr>
          <w:p w14:paraId="11954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977" w:type="dxa"/>
            <w:vMerge w:val="restart"/>
            <w:vAlign w:val="center"/>
          </w:tcPr>
          <w:p w14:paraId="10928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病理数智化平台</w:t>
            </w:r>
          </w:p>
        </w:tc>
        <w:tc>
          <w:tcPr>
            <w:tcW w:w="1798" w:type="dxa"/>
            <w:vMerge w:val="restart"/>
            <w:vAlign w:val="center"/>
          </w:tcPr>
          <w:p w14:paraId="58E2F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送检工作站</w:t>
            </w:r>
          </w:p>
        </w:tc>
        <w:tc>
          <w:tcPr>
            <w:tcW w:w="3719" w:type="dxa"/>
            <w:vAlign w:val="center"/>
          </w:tcPr>
          <w:p w14:paraId="4CCEC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综合病理申请模块</w:t>
            </w:r>
          </w:p>
        </w:tc>
      </w:tr>
      <w:tr w14:paraId="6E64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3EE87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F941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6E9E9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F5F3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手术室病理申请模块</w:t>
            </w:r>
          </w:p>
        </w:tc>
      </w:tr>
      <w:tr w14:paraId="782B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0E41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669A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61332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5CE6C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TCT 病理申请模块</w:t>
            </w:r>
          </w:p>
        </w:tc>
      </w:tr>
      <w:tr w14:paraId="06077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20A16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094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5CF81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7DAAC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细胞学病理申请模块</w:t>
            </w:r>
          </w:p>
        </w:tc>
      </w:tr>
      <w:tr w14:paraId="7BB9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05FB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74B8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27198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8898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内镜申请模块</w:t>
            </w:r>
          </w:p>
        </w:tc>
      </w:tr>
      <w:tr w14:paraId="5591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391A1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051A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42428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69DD6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流式细胞术病理申请模块</w:t>
            </w:r>
          </w:p>
        </w:tc>
      </w:tr>
      <w:tr w14:paraId="254E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EA7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1BD70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2E7B6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3579D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分子申请模块</w:t>
            </w:r>
          </w:p>
        </w:tc>
      </w:tr>
      <w:tr w14:paraId="585E3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F636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0A108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4E068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7321A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FISH 申请模块</w:t>
            </w:r>
          </w:p>
        </w:tc>
      </w:tr>
      <w:tr w14:paraId="52539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2ACF5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46B3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11E13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D43F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TAP 申请模块</w:t>
            </w:r>
          </w:p>
        </w:tc>
      </w:tr>
      <w:tr w14:paraId="318D6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D73B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B95E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64C95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10BCD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HPV 申请模块</w:t>
            </w:r>
          </w:p>
        </w:tc>
      </w:tr>
      <w:tr w14:paraId="07F4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825E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1841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115A1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CA9F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E6/E7mRNA 申请模块</w:t>
            </w:r>
          </w:p>
        </w:tc>
      </w:tr>
      <w:tr w14:paraId="5AF7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A8A8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AC7C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46640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AD22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皮肤病理申请模块</w:t>
            </w:r>
          </w:p>
        </w:tc>
      </w:tr>
      <w:tr w14:paraId="3A1F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CD35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4C43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4C73A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925C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肾穿病理申请模块</w:t>
            </w:r>
          </w:p>
        </w:tc>
      </w:tr>
      <w:tr w14:paraId="2A6C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7950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A75E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5E52C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3AEEB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电镜病理申请模块</w:t>
            </w:r>
          </w:p>
        </w:tc>
      </w:tr>
      <w:tr w14:paraId="22DB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289F4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030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42F64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661A5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细胞 DNA 倍体定量分析病理申请模块</w:t>
            </w:r>
          </w:p>
        </w:tc>
      </w:tr>
      <w:tr w14:paraId="3BDCA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48EF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CFCB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1A1D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9C8A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骨髓病理申请模块</w:t>
            </w:r>
          </w:p>
        </w:tc>
      </w:tr>
      <w:tr w14:paraId="15259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A194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E0E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03551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标本转运工作站</w:t>
            </w:r>
          </w:p>
        </w:tc>
        <w:tc>
          <w:tcPr>
            <w:tcW w:w="3719" w:type="dxa"/>
            <w:vAlign w:val="center"/>
          </w:tcPr>
          <w:p w14:paraId="3D5ED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C76D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98D6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21E2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06967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接收工作站</w:t>
            </w:r>
          </w:p>
        </w:tc>
        <w:tc>
          <w:tcPr>
            <w:tcW w:w="3719" w:type="dxa"/>
            <w:vAlign w:val="center"/>
          </w:tcPr>
          <w:p w14:paraId="0D34C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EE40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210AE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108F9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0340B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取材工作站</w:t>
            </w:r>
          </w:p>
        </w:tc>
        <w:tc>
          <w:tcPr>
            <w:tcW w:w="3719" w:type="dxa"/>
            <w:vAlign w:val="center"/>
          </w:tcPr>
          <w:p w14:paraId="4CAE7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11B5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43D58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2320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restart"/>
            <w:vAlign w:val="center"/>
          </w:tcPr>
          <w:p w14:paraId="722BD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包埋工作站</w:t>
            </w:r>
          </w:p>
        </w:tc>
        <w:tc>
          <w:tcPr>
            <w:tcW w:w="3719" w:type="dxa"/>
            <w:vAlign w:val="center"/>
          </w:tcPr>
          <w:p w14:paraId="0639F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取材核对</w:t>
            </w:r>
          </w:p>
        </w:tc>
      </w:tr>
      <w:tr w14:paraId="7946D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04E2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E6E2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21EE2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20D8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包埋过程管理</w:t>
            </w:r>
          </w:p>
        </w:tc>
      </w:tr>
      <w:tr w14:paraId="092F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CDA5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17CE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3492A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制片工作站</w:t>
            </w:r>
          </w:p>
        </w:tc>
        <w:tc>
          <w:tcPr>
            <w:tcW w:w="3719" w:type="dxa"/>
            <w:vAlign w:val="center"/>
          </w:tcPr>
          <w:p w14:paraId="2EC47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EA8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67A66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7904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2A881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特检医嘱工作站</w:t>
            </w:r>
          </w:p>
        </w:tc>
        <w:tc>
          <w:tcPr>
            <w:tcW w:w="3719" w:type="dxa"/>
            <w:vAlign w:val="center"/>
          </w:tcPr>
          <w:p w14:paraId="6B119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C1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5B2F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8E97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restart"/>
            <w:vAlign w:val="center"/>
          </w:tcPr>
          <w:p w14:paraId="64B6C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诊断工作站</w:t>
            </w:r>
          </w:p>
        </w:tc>
        <w:tc>
          <w:tcPr>
            <w:tcW w:w="3719" w:type="dxa"/>
            <w:vAlign w:val="center"/>
          </w:tcPr>
          <w:p w14:paraId="661BB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综合报告模块</w:t>
            </w:r>
          </w:p>
        </w:tc>
      </w:tr>
      <w:tr w14:paraId="222B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DBC4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6694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2329A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7119C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常规病理诊断</w:t>
            </w:r>
          </w:p>
        </w:tc>
      </w:tr>
      <w:tr w14:paraId="6AB60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075FC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1549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5A63B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6AD35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default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冰冻病理诊断</w:t>
            </w:r>
          </w:p>
        </w:tc>
      </w:tr>
      <w:tr w14:paraId="73C8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38356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43BA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583C0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9BB6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TCT 病理诊断</w:t>
            </w:r>
          </w:p>
        </w:tc>
      </w:tr>
      <w:tr w14:paraId="3AEF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3E8E3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3DE6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6E973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66A06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DNA 倍体定量分析诊断</w:t>
            </w:r>
          </w:p>
        </w:tc>
      </w:tr>
      <w:tr w14:paraId="763E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69222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0FA67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34020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34E6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微生态病理诊断</w:t>
            </w:r>
          </w:p>
        </w:tc>
      </w:tr>
      <w:tr w14:paraId="5695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0D6C2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05FA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0B2FF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097E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分子病理诊断</w:t>
            </w:r>
          </w:p>
        </w:tc>
      </w:tr>
      <w:tr w14:paraId="08B09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3292F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8224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1A5FF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D55C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FISH 病理诊断</w:t>
            </w:r>
          </w:p>
        </w:tc>
      </w:tr>
      <w:tr w14:paraId="69E69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B4B5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8CFC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0CD63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76920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HPV 病理诊断</w:t>
            </w:r>
          </w:p>
        </w:tc>
      </w:tr>
      <w:tr w14:paraId="44B4C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23C48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6333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5C45A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5ED29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E6/E7mRNA 病理诊断</w:t>
            </w:r>
          </w:p>
        </w:tc>
      </w:tr>
      <w:tr w14:paraId="0401B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24476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EBE6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047B9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313EB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TAP 病理诊断</w:t>
            </w:r>
          </w:p>
        </w:tc>
      </w:tr>
      <w:tr w14:paraId="3D0F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01D7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218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44349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72EA5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淋巴瘤重排病理诊断</w:t>
            </w:r>
          </w:p>
        </w:tc>
      </w:tr>
      <w:tr w14:paraId="1C2B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261C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A125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7D6E8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31374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TB-DNA 病理诊断</w:t>
            </w:r>
          </w:p>
        </w:tc>
      </w:tr>
      <w:tr w14:paraId="55CB0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25AE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5B53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5A8B4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3C427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其他分子病理诊断</w:t>
            </w:r>
          </w:p>
        </w:tc>
      </w:tr>
      <w:tr w14:paraId="4837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31334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A25C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4E99E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6656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流式细胞术病理诊断</w:t>
            </w:r>
          </w:p>
        </w:tc>
      </w:tr>
      <w:tr w14:paraId="1B9D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9195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DFB6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05E22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55F46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骨髓病理诊断</w:t>
            </w:r>
          </w:p>
        </w:tc>
      </w:tr>
      <w:tr w14:paraId="2244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02A0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B66A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08DE1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588A1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肾穿病理诊断</w:t>
            </w:r>
          </w:p>
        </w:tc>
      </w:tr>
      <w:tr w14:paraId="08D51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1D6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6063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25DED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D9B6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电镜病理诊断</w:t>
            </w:r>
          </w:p>
        </w:tc>
      </w:tr>
      <w:tr w14:paraId="2BFB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0AD60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8D07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25F1D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归档工作站</w:t>
            </w:r>
          </w:p>
        </w:tc>
        <w:tc>
          <w:tcPr>
            <w:tcW w:w="3719" w:type="dxa"/>
            <w:vAlign w:val="center"/>
          </w:tcPr>
          <w:p w14:paraId="209B1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8B7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75322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CB2D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620D4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借还片工作站</w:t>
            </w:r>
          </w:p>
        </w:tc>
        <w:tc>
          <w:tcPr>
            <w:tcW w:w="3719" w:type="dxa"/>
            <w:vAlign w:val="center"/>
          </w:tcPr>
          <w:p w14:paraId="162E2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B9A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1470F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FA11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225D0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设备试剂耗材管理工作站</w:t>
            </w:r>
          </w:p>
        </w:tc>
        <w:tc>
          <w:tcPr>
            <w:tcW w:w="3719" w:type="dxa"/>
            <w:vAlign w:val="center"/>
          </w:tcPr>
          <w:p w14:paraId="4A789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8D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4C26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122D6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17E55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质控工作站</w:t>
            </w:r>
          </w:p>
        </w:tc>
        <w:tc>
          <w:tcPr>
            <w:tcW w:w="3719" w:type="dxa"/>
            <w:vAlign w:val="center"/>
          </w:tcPr>
          <w:p w14:paraId="446E3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92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03AF4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9278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Align w:val="center"/>
          </w:tcPr>
          <w:p w14:paraId="4E6C6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自助打印工作站</w:t>
            </w:r>
          </w:p>
        </w:tc>
        <w:tc>
          <w:tcPr>
            <w:tcW w:w="3719" w:type="dxa"/>
            <w:vAlign w:val="center"/>
          </w:tcPr>
          <w:p w14:paraId="56D73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1F6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077B9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C7BF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restart"/>
            <w:vAlign w:val="center"/>
          </w:tcPr>
          <w:p w14:paraId="2953A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技术全流程质控工作站</w:t>
            </w:r>
          </w:p>
        </w:tc>
        <w:tc>
          <w:tcPr>
            <w:tcW w:w="3719" w:type="dxa"/>
            <w:vAlign w:val="center"/>
          </w:tcPr>
          <w:p w14:paraId="676C9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取材环节材块核对</w:t>
            </w:r>
          </w:p>
        </w:tc>
      </w:tr>
      <w:tr w14:paraId="06888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208AD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FFA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16C15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0A575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脱水环节</w:t>
            </w:r>
          </w:p>
        </w:tc>
      </w:tr>
      <w:tr w14:paraId="6EC0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8" w:type="dxa"/>
            <w:vMerge w:val="continue"/>
            <w:vAlign w:val="center"/>
          </w:tcPr>
          <w:p w14:paraId="5CDD5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D1D1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3EB4C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13D27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包埋环节</w:t>
            </w:r>
          </w:p>
        </w:tc>
      </w:tr>
      <w:tr w14:paraId="62BA6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28" w:type="dxa"/>
            <w:vMerge w:val="continue"/>
            <w:vAlign w:val="center"/>
          </w:tcPr>
          <w:p w14:paraId="59F4C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16F1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7349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53F6C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切片环节/冰冻切片环节</w:t>
            </w:r>
          </w:p>
        </w:tc>
      </w:tr>
      <w:tr w14:paraId="5544C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restart"/>
            <w:vAlign w:val="center"/>
          </w:tcPr>
          <w:p w14:paraId="7CA99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977" w:type="dxa"/>
            <w:vMerge w:val="restart"/>
            <w:vAlign w:val="center"/>
          </w:tcPr>
          <w:p w14:paraId="52702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病理数智化人工智能辅助分析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193B2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乳腺癌免疫组化细胞计数</w:t>
            </w:r>
          </w:p>
        </w:tc>
        <w:tc>
          <w:tcPr>
            <w:tcW w:w="3719" w:type="dxa"/>
            <w:vAlign w:val="center"/>
          </w:tcPr>
          <w:p w14:paraId="133D0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52D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1EC9F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F934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02600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切片优良率人工智能评价</w:t>
            </w:r>
          </w:p>
        </w:tc>
        <w:tc>
          <w:tcPr>
            <w:tcW w:w="3719" w:type="dxa"/>
            <w:vAlign w:val="center"/>
          </w:tcPr>
          <w:p w14:paraId="0E2D6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017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63FFA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44CD6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17669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宫颈液基细胞学人工智能辅助质控</w:t>
            </w:r>
          </w:p>
        </w:tc>
        <w:tc>
          <w:tcPr>
            <w:tcW w:w="3719" w:type="dxa"/>
            <w:vAlign w:val="center"/>
          </w:tcPr>
          <w:p w14:paraId="53B3A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79A3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49C81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FF47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65339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规范化病理诊断报告人工智能评价</w:t>
            </w:r>
          </w:p>
        </w:tc>
        <w:tc>
          <w:tcPr>
            <w:tcW w:w="3719" w:type="dxa"/>
            <w:vAlign w:val="center"/>
          </w:tcPr>
          <w:p w14:paraId="484E7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E53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013B9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234CF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46108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甲状腺细针穿刺细胞学人工智能辅助</w:t>
            </w:r>
          </w:p>
        </w:tc>
        <w:tc>
          <w:tcPr>
            <w:tcW w:w="3719" w:type="dxa"/>
            <w:vAlign w:val="center"/>
          </w:tcPr>
          <w:p w14:paraId="27DFE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0E3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623FD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0770F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2AD3C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医学影像协同标注系统</w:t>
            </w:r>
          </w:p>
        </w:tc>
        <w:tc>
          <w:tcPr>
            <w:tcW w:w="3719" w:type="dxa"/>
            <w:vAlign w:val="center"/>
          </w:tcPr>
          <w:p w14:paraId="6613E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7FB9C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1AF58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9B0A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14:paraId="3820F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病理诊断图像处理软件</w:t>
            </w:r>
          </w:p>
        </w:tc>
        <w:tc>
          <w:tcPr>
            <w:tcW w:w="3719" w:type="dxa"/>
            <w:vAlign w:val="center"/>
          </w:tcPr>
          <w:p w14:paraId="10DA7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70BE5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1" w:hRule="atLeast"/>
        </w:trPr>
        <w:tc>
          <w:tcPr>
            <w:tcW w:w="1028" w:type="dxa"/>
            <w:vMerge w:val="restart"/>
            <w:vAlign w:val="center"/>
          </w:tcPr>
          <w:p w14:paraId="5B379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977" w:type="dxa"/>
            <w:vMerge w:val="restart"/>
            <w:vAlign w:val="center"/>
          </w:tcPr>
          <w:p w14:paraId="544C4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病理数字化管理系统</w:t>
            </w:r>
          </w:p>
        </w:tc>
        <w:tc>
          <w:tcPr>
            <w:tcW w:w="1798" w:type="dxa"/>
            <w:vMerge w:val="restart"/>
            <w:vAlign w:val="center"/>
          </w:tcPr>
          <w:p w14:paraId="4927D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数字化管理</w:t>
            </w:r>
          </w:p>
        </w:tc>
        <w:tc>
          <w:tcPr>
            <w:tcW w:w="3719" w:type="dxa"/>
            <w:vAlign w:val="center"/>
          </w:tcPr>
          <w:p w14:paraId="53872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数字切片归一化处理</w:t>
            </w:r>
          </w:p>
        </w:tc>
      </w:tr>
      <w:tr w14:paraId="0527D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28" w:type="dxa"/>
            <w:vMerge w:val="continue"/>
            <w:vAlign w:val="center"/>
          </w:tcPr>
          <w:p w14:paraId="7E16A2B3">
            <w:pPr>
              <w:widowControl w:val="0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CA84651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18D483BE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455A2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数字化阅片</w:t>
            </w:r>
          </w:p>
        </w:tc>
      </w:tr>
      <w:tr w14:paraId="63C2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2268DF8B">
            <w:pPr>
              <w:widowControl w:val="0"/>
              <w:jc w:val="both"/>
              <w:rPr>
                <w:rFonts w:hint="eastAsia"/>
                <w:vertAlign w:val="baseline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DFB3DA6">
            <w:pPr>
              <w:widowControl w:val="0"/>
              <w:jc w:val="both"/>
              <w:rPr>
                <w:rFonts w:hint="eastAsia"/>
                <w:vertAlign w:val="baseline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0DB71C2D">
            <w:pPr>
              <w:widowControl w:val="0"/>
              <w:jc w:val="both"/>
              <w:rPr>
                <w:rFonts w:hint="eastAsia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3917B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数字切片存储管理</w:t>
            </w:r>
          </w:p>
        </w:tc>
      </w:tr>
      <w:tr w14:paraId="2F45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730FFADF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1E0E8E2E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5C040678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1285959B">
            <w:pPr>
              <w:widowControl w:val="0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计算资源服务</w:t>
            </w:r>
          </w:p>
        </w:tc>
      </w:tr>
      <w:tr w14:paraId="292E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Merge w:val="continue"/>
            <w:vAlign w:val="center"/>
          </w:tcPr>
          <w:p w14:paraId="45A7CCD6">
            <w:pPr>
              <w:widowControl w:val="0"/>
              <w:jc w:val="both"/>
              <w:rPr>
                <w:rFonts w:hint="eastAsia"/>
                <w:vertAlign w:val="baseline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5F35AF44">
            <w:pPr>
              <w:widowControl w:val="0"/>
              <w:jc w:val="both"/>
              <w:rPr>
                <w:rFonts w:hint="eastAsia"/>
                <w:vertAlign w:val="baseline"/>
              </w:rPr>
            </w:pPr>
          </w:p>
        </w:tc>
        <w:tc>
          <w:tcPr>
            <w:tcW w:w="1798" w:type="dxa"/>
            <w:vAlign w:val="center"/>
          </w:tcPr>
          <w:p w14:paraId="0169A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远程会诊院间协同模块</w:t>
            </w:r>
          </w:p>
        </w:tc>
        <w:tc>
          <w:tcPr>
            <w:tcW w:w="3719" w:type="dxa"/>
            <w:vAlign w:val="center"/>
          </w:tcPr>
          <w:p w14:paraId="5483C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3A2E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8" w:type="dxa"/>
            <w:vAlign w:val="center"/>
          </w:tcPr>
          <w:p w14:paraId="68C13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center"/>
              <w:textAlignment w:val="auto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977" w:type="dxa"/>
            <w:vAlign w:val="center"/>
          </w:tcPr>
          <w:p w14:paraId="6EF12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  <w:t>（ISO15189）临床病理实验室质量体系管理</w:t>
            </w:r>
          </w:p>
        </w:tc>
        <w:tc>
          <w:tcPr>
            <w:tcW w:w="1798" w:type="dxa"/>
            <w:vAlign w:val="center"/>
          </w:tcPr>
          <w:p w14:paraId="5AC39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719" w:type="dxa"/>
            <w:vAlign w:val="center"/>
          </w:tcPr>
          <w:p w14:paraId="6C95F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 w14:paraId="3B9ECD97">
      <w:pPr>
        <w:ind w:left="0" w:leftChars="0" w:firstLine="0" w:firstLineChars="0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E227FE9">
      <w:pPr>
        <w:widowControl w:val="0"/>
        <w:spacing w:before="0" w:beforeLines="-2147483648" w:after="0" w:afterLines="-2147483648" w:line="240" w:lineRule="auto"/>
        <w:ind w:firstLine="0" w:firstLineChars="0"/>
        <w:jc w:val="center"/>
        <w:rPr>
          <w:rFonts w:hint="default" w:eastAsia="宋体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 w:val="0"/>
          <w:sz w:val="28"/>
          <w:szCs w:val="28"/>
          <w:lang w:val="en-US" w:eastAsia="zh-CN"/>
        </w:rPr>
        <w:t>病理全流程信息管理系统升级项目报价表</w:t>
      </w:r>
      <w:bookmarkStart w:id="0" w:name="_GoBack"/>
      <w:bookmarkEnd w:id="0"/>
    </w:p>
    <w:tbl>
      <w:tblPr>
        <w:tblStyle w:val="2"/>
        <w:tblW w:w="4881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3315"/>
        <w:gridCol w:w="1113"/>
        <w:gridCol w:w="1683"/>
        <w:gridCol w:w="2278"/>
        <w:gridCol w:w="908"/>
        <w:gridCol w:w="698"/>
        <w:gridCol w:w="2854"/>
        <w:gridCol w:w="113"/>
      </w:tblGrid>
      <w:tr w14:paraId="5C1B27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pct"/>
          <w:trHeight w:val="546" w:hRule="atLeast"/>
        </w:trPr>
        <w:tc>
          <w:tcPr>
            <w:tcW w:w="2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F8D001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12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692C88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名称</w:t>
            </w:r>
          </w:p>
        </w:tc>
        <w:tc>
          <w:tcPr>
            <w:tcW w:w="4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BEBF33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品牌</w:t>
            </w:r>
          </w:p>
        </w:tc>
        <w:tc>
          <w:tcPr>
            <w:tcW w:w="6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BC4D68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lang w:val="en-US" w:eastAsia="zh-CN"/>
              </w:rPr>
              <w:t>版本号</w:t>
            </w:r>
          </w:p>
        </w:tc>
        <w:tc>
          <w:tcPr>
            <w:tcW w:w="8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FA763C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lang w:val="en-US" w:eastAsia="zh-CN"/>
              </w:rPr>
              <w:t>软件开发商</w:t>
            </w:r>
          </w:p>
        </w:tc>
        <w:tc>
          <w:tcPr>
            <w:tcW w:w="3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B1A88B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单位</w:t>
            </w:r>
          </w:p>
        </w:tc>
        <w:tc>
          <w:tcPr>
            <w:tcW w:w="2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E3A018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数量</w:t>
            </w:r>
          </w:p>
        </w:tc>
        <w:tc>
          <w:tcPr>
            <w:tcW w:w="10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BA6AA5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单价（元）</w:t>
            </w:r>
          </w:p>
        </w:tc>
      </w:tr>
      <w:tr w14:paraId="60CCB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pct"/>
          <w:trHeight w:val="680" w:hRule="atLeast"/>
        </w:trPr>
        <w:tc>
          <w:tcPr>
            <w:tcW w:w="2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206A0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2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7865BB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病理数智化平台</w:t>
            </w:r>
          </w:p>
        </w:tc>
        <w:tc>
          <w:tcPr>
            <w:tcW w:w="4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522798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F5A68F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5756F1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3B6FB1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2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D0D00B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AC4F5D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3D3F5B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pct"/>
          <w:trHeight w:val="680" w:hRule="atLeast"/>
        </w:trPr>
        <w:tc>
          <w:tcPr>
            <w:tcW w:w="2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F80AE3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2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886033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病理数智化人工智能辅助分析</w:t>
            </w:r>
          </w:p>
        </w:tc>
        <w:tc>
          <w:tcPr>
            <w:tcW w:w="4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78FD20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68172A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931F50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4F701D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套</w:t>
            </w:r>
          </w:p>
        </w:tc>
        <w:tc>
          <w:tcPr>
            <w:tcW w:w="2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BA8800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0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C5D043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3A211B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pct"/>
          <w:trHeight w:val="680" w:hRule="atLeast"/>
        </w:trPr>
        <w:tc>
          <w:tcPr>
            <w:tcW w:w="2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14379B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12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78B113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病理数字化管理系统</w:t>
            </w:r>
          </w:p>
        </w:tc>
        <w:tc>
          <w:tcPr>
            <w:tcW w:w="4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E5D254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1AC3DE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8A726D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927943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套</w:t>
            </w:r>
          </w:p>
        </w:tc>
        <w:tc>
          <w:tcPr>
            <w:tcW w:w="2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433BF2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0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C38307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F567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pct"/>
          <w:trHeight w:val="680" w:hRule="atLeast"/>
        </w:trPr>
        <w:tc>
          <w:tcPr>
            <w:tcW w:w="2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18409D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12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60089C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（ISO15189）临床病理实验室质量体系管理</w:t>
            </w:r>
          </w:p>
        </w:tc>
        <w:tc>
          <w:tcPr>
            <w:tcW w:w="4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5DF901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2779C7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4BECF6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977D40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套</w:t>
            </w:r>
          </w:p>
        </w:tc>
        <w:tc>
          <w:tcPr>
            <w:tcW w:w="2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45CF3B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0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B2E2FA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A3F07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000" w:type="pct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25ED57">
            <w:pPr>
              <w:widowControl w:val="0"/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合计人民币（大写）                      元（￥                   ）含税</w:t>
            </w:r>
          </w:p>
        </w:tc>
      </w:tr>
    </w:tbl>
    <w:p w14:paraId="23B36B15">
      <w:pPr>
        <w:widowControl w:val="0"/>
        <w:spacing w:before="0" w:beforeLines="-2147483648" w:after="0" w:afterLines="-2147483648" w:line="240" w:lineRule="auto"/>
        <w:ind w:firstLine="1320" w:firstLineChars="550"/>
        <w:jc w:val="right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5E9D5EFD">
      <w:pPr>
        <w:widowControl w:val="0"/>
        <w:spacing w:before="0" w:beforeLines="-2147483648" w:after="0" w:afterLines="-2147483648" w:line="240" w:lineRule="auto"/>
        <w:ind w:right="1120" w:firstLine="0" w:firstLineChars="0"/>
        <w:jc w:val="both"/>
        <w:rPr>
          <w:rFonts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供应商全称（盖单位公章）：</w:t>
      </w:r>
    </w:p>
    <w:p w14:paraId="101F8CDA">
      <w:pPr>
        <w:widowControl w:val="0"/>
        <w:spacing w:before="0" w:beforeLines="-2147483648" w:after="0" w:afterLines="-2147483648" w:line="240" w:lineRule="auto"/>
        <w:ind w:firstLine="0" w:firstLineChars="0"/>
        <w:jc w:val="right"/>
        <w:rPr>
          <w:rFonts w:ascii="宋体" w:hAnsi="宋体" w:eastAsia="宋体" w:cs="Times New Roman"/>
          <w:b w:val="0"/>
          <w:bCs w:val="0"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日期：</w:t>
      </w:r>
      <w:r>
        <w:rPr>
          <w:rFonts w:ascii="宋体" w:hAnsi="宋体" w:eastAsia="宋体" w:cs="Times New Roman"/>
          <w:b w:val="0"/>
          <w:bCs w:val="0"/>
          <w:sz w:val="24"/>
          <w:szCs w:val="24"/>
        </w:rPr>
        <w:t xml:space="preserve">  年  月  日</w:t>
      </w:r>
    </w:p>
    <w:p w14:paraId="31A019D8">
      <w:pPr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 w:ascii="宋体" w:hAnsi="宋体" w:eastAsia="宋体" w:cs="Times New Roman"/>
          <w:b/>
          <w:bCs w:val="0"/>
          <w:sz w:val="24"/>
          <w:szCs w:val="24"/>
        </w:rPr>
        <w:t>报价要求：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本项目实施过程中供应商与院方</w:t>
      </w:r>
      <w:r>
        <w:rPr>
          <w:rFonts w:ascii="宋体" w:hAnsi="宋体" w:eastAsia="宋体" w:cs="Times New Roman"/>
          <w:b w:val="0"/>
          <w:bCs w:val="0"/>
          <w:sz w:val="24"/>
          <w:szCs w:val="24"/>
        </w:rPr>
        <w:t>HIS系统、医院其他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系统的开发对接产生的开发费用、接口费用、所有设备施工安装调试费用或其他费用由供应商承担</w:t>
      </w:r>
      <w:r>
        <w:rPr>
          <w:rFonts w:ascii="宋体" w:hAnsi="宋体" w:eastAsia="宋体" w:cs="Times New Roman"/>
          <w:b w:val="0"/>
          <w:bCs w:val="0"/>
          <w:sz w:val="24"/>
          <w:szCs w:val="24"/>
        </w:rPr>
        <w:t>,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院方不再支付；供应商必须承诺投标报价应为人民币含税全包价，包括所投产品的设计、开发、测试、运输、安装调试、、第三方接口开发调试、对接、验收、培训、</w:t>
      </w:r>
      <w:r>
        <w:rPr>
          <w:rFonts w:hint="eastAsia" w:eastAsia="宋体" w:cs="Times New Roman"/>
          <w:b w:val="0"/>
          <w:bCs w:val="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年质保期内软件系统升级和个性化改造、售后服务及硬件维护等一切费用。所投产品开发过程中若涉及第三方的知识产权，其使用过程所产生的一切费用应包含在本次投标报价内。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2"/>
      </w:pPr>
      <w:r>
        <w:separator/>
      </w:r>
    </w:p>
  </w:endnote>
  <w:endnote w:type="continuationSeparator" w:id="1">
    <w:p>
      <w:pPr>
        <w:spacing w:line="240" w:lineRule="auto"/>
        <w:ind w:firstLine="48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2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453BA"/>
    <w:rsid w:val="036453BA"/>
    <w:rsid w:val="103709CC"/>
    <w:rsid w:val="1FA950A6"/>
    <w:rsid w:val="2426102C"/>
    <w:rsid w:val="2ADF5198"/>
    <w:rsid w:val="2AFC6642"/>
    <w:rsid w:val="3A6619DD"/>
    <w:rsid w:val="41B475E0"/>
    <w:rsid w:val="4FF9121F"/>
    <w:rsid w:val="50072D2B"/>
    <w:rsid w:val="719E532A"/>
    <w:rsid w:val="7E34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beforeLines="50" w:after="50" w:afterLines="50" w:line="360" w:lineRule="auto"/>
      <w:ind w:firstLine="200" w:firstLineChars="200"/>
    </w:pPr>
    <w:rPr>
      <w:rFonts w:ascii="宋体" w:hAnsi="宋体" w:eastAsia="仿宋" w:cs="仿宋_GB2312"/>
      <w:b/>
      <w:bCs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2107</Words>
  <Characters>2275</Characters>
  <Lines>0</Lines>
  <Paragraphs>0</Paragraphs>
  <TotalTime>0</TotalTime>
  <ScaleCrop>false</ScaleCrop>
  <LinksUpToDate>false</LinksUpToDate>
  <CharactersWithSpaces>2352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2026-07-01T01:09:00Z</dcterms:created>
  <dc:creator>WPS_1666697298</dc:creator>
  <cp:lastModifiedBy>WPS_1666697298</cp:lastModifiedBy>
  <dcterms:modified xsi:type="dcterms:W3CDTF">2026-07-02T10:37:59Z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EA1DD54FBE7942B6B007A4D433CF3886_11</vt:lpwstr>
  </property>
  <property fmtid="{D5CDD505-2E9C-101B-9397-08002B2CF9AE}" pid="4" name="KSOTemplateDocerSaveRecord">
    <vt:lpwstr>eyJoZGlkIjoiYWJiYzc3YzM3Y2ExYjc3MGFjMWU2NWE1OWRjMDcxYjIiLCJ1c2VySWQiOiIxNDMzNDE5NTU0In0=</vt:lpwstr>
  </property>
</Properties>
</file>