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E22F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</w:rPr>
        <w:t>数字PCR仪设备性能参数要求</w:t>
      </w:r>
    </w:p>
    <w:p w14:paraId="4F8F1ED6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1、数字PCR仪各部件，包含样本制备仪、生物芯片分析仪均须具备中华人民共和国医疗器械三类注册证。</w:t>
      </w:r>
    </w:p>
    <w:p w14:paraId="67B8E935">
      <w:pPr>
        <w:spacing w:line="360" w:lineRule="auto"/>
        <w:rPr>
          <w:rFonts w:hint="eastAsia" w:cs="Times New Roman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2、</w:t>
      </w:r>
      <w:r>
        <w:rPr>
          <w:rFonts w:hint="eastAsia" w:cs="Times New Roman" w:asciiTheme="minorEastAsia" w:hAnsiTheme="minorEastAsia"/>
          <w:kern w:val="0"/>
          <w:sz w:val="24"/>
          <w:szCs w:val="24"/>
          <w:lang w:eastAsia="zh-CN"/>
        </w:rPr>
        <w:t>基于流动共聚焦方式油包水微液滴</w:t>
      </w:r>
      <w:r>
        <w:rPr>
          <w:rFonts w:hint="eastAsia" w:cs="Times New Roman" w:asciiTheme="minorEastAsia" w:hAnsiTheme="minorEastAsia"/>
          <w:kern w:val="0"/>
          <w:sz w:val="24"/>
          <w:szCs w:val="24"/>
          <w:lang w:val="en-US" w:eastAsia="zh-CN"/>
        </w:rPr>
        <w:t>的工作原理，可</w:t>
      </w:r>
      <w:r>
        <w:rPr>
          <w:rFonts w:hint="eastAsia" w:cs="Times New Roman" w:asciiTheme="minorEastAsia" w:hAnsiTheme="minorEastAsia"/>
          <w:kern w:val="0"/>
          <w:szCs w:val="21"/>
          <w:lang w:val="en-US" w:eastAsia="zh-CN"/>
        </w:rPr>
        <w:t>最大限度保证分配过程的随机性与独立性</w:t>
      </w:r>
      <w:r>
        <w:rPr>
          <w:rFonts w:hint="eastAsia" w:cs="Times New Roman" w:asciiTheme="minorEastAsia" w:hAnsiTheme="minorEastAsia"/>
          <w:kern w:val="0"/>
          <w:sz w:val="24"/>
          <w:szCs w:val="24"/>
        </w:rPr>
        <w:t>。</w:t>
      </w:r>
    </w:p>
    <w:p w14:paraId="206D937B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</w:rPr>
        <w:t>3、</w:t>
      </w:r>
      <w:r>
        <w:rPr>
          <w:rFonts w:hint="eastAsia" w:asciiTheme="minorEastAsia" w:hAnsiTheme="minorEastAsia"/>
          <w:sz w:val="24"/>
          <w:szCs w:val="24"/>
        </w:rPr>
        <w:t>反应体系：单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孔可在20-50µL范围内调节。</w:t>
      </w:r>
    </w:p>
    <w:p w14:paraId="5587F555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4、微滴生成数：微滴总数可调量≥5万，可根据上样量自动变化，无需更换、增加设备或者芯片。</w:t>
      </w:r>
    </w:p>
    <w:p w14:paraId="525B4FB1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5、单孔理论最大生成微滴数：≥100000个。</w:t>
      </w:r>
    </w:p>
    <w:p w14:paraId="0685F63B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6、单孔实际最大生成微滴数：≥70000个。单孔实际最大检测微滴数：≥60000个。</w:t>
      </w:r>
    </w:p>
    <w:p w14:paraId="6D8A3F63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7、样品放入微液滴样本制备仪后，包括PCR扩增步骤，全程无需人工移取接触微液滴，避免微液滴损伤及交叉污染，符合分子诊断法规要求。</w:t>
      </w:r>
    </w:p>
    <w:p w14:paraId="6BAEAEE6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8、微滴体积：≤0.5 nL；微滴尺寸差异：≤1%。</w:t>
      </w:r>
    </w:p>
    <w:p w14:paraId="2778AA2A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9、扩增方式：标准PCR扩增仪，非平板式扩增仪，可直接用于其他分子生物学实验，单次扩增通量≥96样本，通量可调。</w:t>
      </w:r>
    </w:p>
    <w:p w14:paraId="5B24C36E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10、PCR扩增步骤支持温度梯度优化功能，便于摸索实验条件；PCR扩增温度速率可调，升降温速度≥6℃/秒。</w:t>
      </w:r>
    </w:p>
    <w:p w14:paraId="2C6A3951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11、液滴荧光信号检测方式：微流控逐个液滴计数方式，要求每个液滴独立、逐个被检测，流式原理，避免微液滴间荧光信号干扰，特异性高。检测器：PMT检测器或者硅光子检测器，无需掺入额外本底荧光即可识别阴性液滴，非CCD或者CMOS。</w:t>
      </w:r>
    </w:p>
    <w:p w14:paraId="0225908D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12、检测装置内部无流路设计，所有检测均在芯片耗材中完成，不流经设备内部，避免设备污染，降低维护成本。</w:t>
      </w:r>
    </w:p>
    <w:p w14:paraId="76272692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13、检测过程（包括微滴生成、PCR扩增、微滴检测）封闭体系设计，确保PCR产物不暴露在空气中，减少气溶胶污染和样品损失。</w:t>
      </w:r>
    </w:p>
    <w:p w14:paraId="56FF9578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14、光源：配备≥3个单波长固态激光器，非LED光源，可保证荧光激发特异性。</w:t>
      </w:r>
    </w:p>
    <w:p w14:paraId="2615F2B0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15、检测通道数：≥5个，可实现FAM、VIC/HEX、ROX、Cy5、Cy5.5/Q705 5个检测通道同时检测。</w:t>
      </w:r>
    </w:p>
    <w:p w14:paraId="4F48011F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16、软件分析：有专利的分水岭算法，能提高阴性、阳性微液滴的荧光强度差异。</w:t>
      </w:r>
    </w:p>
    <w:p w14:paraId="730ABDF7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17、支持微滴样品回收功能，用于下游分析。</w:t>
      </w:r>
    </w:p>
    <w:p w14:paraId="7E2692C8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18、设备系统兼容性好，可选配同品牌自动核酸提取仪或提取试剂盒，保持数据稳定性；PCR非专机专用，有多种品牌、规格PCR仪自由可选。</w:t>
      </w:r>
    </w:p>
    <w:p w14:paraId="0B6BCEAA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19、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基于该设备有NMPA三类注册证的EGFR基因检测试剂盒。</w:t>
      </w:r>
    </w:p>
    <w:p w14:paraId="2DF43026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28798708">
      <w:pPr>
        <w:spacing w:line="360" w:lineRule="auto"/>
        <w:rPr>
          <w:rFonts w:hint="eastAsia" w:ascii="Times New Roman" w:hAnsi="Times New Roman" w:eastAsia="宋体" w:cs="Times New Roman"/>
          <w:b/>
          <w:sz w:val="28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配置要求</w:t>
      </w:r>
    </w:p>
    <w:tbl>
      <w:tblPr>
        <w:tblStyle w:val="16"/>
        <w:tblpPr w:leftFromText="180" w:rightFromText="180" w:vertAnchor="text" w:horzAnchor="page" w:tblpX="1987" w:tblpY="402"/>
        <w:tblOverlap w:val="never"/>
        <w:tblW w:w="6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210"/>
        <w:gridCol w:w="1617"/>
      </w:tblGrid>
      <w:tr w14:paraId="71B5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E1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Times New Roman"/>
                <w:bCs/>
              </w:rPr>
            </w:pPr>
            <w:r>
              <w:rPr>
                <w:rFonts w:hint="default" w:cs="Times New Roman"/>
                <w:bCs/>
              </w:rPr>
              <w:t>产品名称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56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Times New Roman"/>
                <w:bCs/>
              </w:rPr>
            </w:pPr>
            <w:r>
              <w:rPr>
                <w:rFonts w:hint="default" w:cs="Times New Roman"/>
                <w:bCs/>
              </w:rPr>
              <w:t>内容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90C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default" w:ascii="Times New Roman" w:hAnsi="Times New Roman"/>
                <w:bCs/>
                <w:lang w:val="en-US"/>
              </w:rPr>
            </w:pPr>
            <w:r>
              <w:rPr>
                <w:rFonts w:hint="default" w:ascii="Times New Roman" w:hAnsi="Times New Roman"/>
                <w:bCs/>
                <w:lang w:val="en-US"/>
              </w:rPr>
              <w:t>数量</w:t>
            </w:r>
          </w:p>
        </w:tc>
      </w:tr>
      <w:tr w14:paraId="7057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0C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default" w:cs="Times New Roman"/>
                <w:bCs/>
              </w:rPr>
              <w:t>数字PCR仪</w:t>
            </w:r>
          </w:p>
          <w:p w14:paraId="431C312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/>
                <w:bCs/>
                <w:lang w:val="en-US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6"/>
              <w:tblpPr w:leftFromText="180" w:rightFromText="180" w:vertAnchor="page" w:horzAnchor="margin" w:tblpXSpec="left" w:tblpY="1"/>
              <w:tblOverlap w:val="never"/>
              <w:tblW w:w="722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1"/>
            </w:tblGrid>
            <w:tr w14:paraId="2A0382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3" w:hRule="atLeast"/>
              </w:trPr>
              <w:tc>
                <w:tcPr>
                  <w:tcW w:w="7221" w:type="dxa"/>
                </w:tcPr>
                <w:p w14:paraId="342E851B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Times New Roman" w:hAnsi="Times New Roman"/>
                      <w:bCs/>
                      <w:color w:val="000000"/>
                    </w:rPr>
                  </w:pPr>
                  <w:r>
                    <w:rPr>
                      <w:rFonts w:hint="default" w:ascii="Times New Roman" w:hAnsi="Times New Roman"/>
                      <w:bCs/>
                      <w:color w:val="000000"/>
                    </w:rPr>
                    <w:t>样本制备仪</w:t>
                  </w:r>
                </w:p>
                <w:p w14:paraId="3CDCEC51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Times New Roman" w:hAnsi="Times New Roman"/>
                      <w:bCs/>
                      <w:color w:val="000000"/>
                    </w:rPr>
                  </w:pPr>
                  <w:r>
                    <w:rPr>
                      <w:rFonts w:hint="default" w:ascii="Times New Roman" w:hAnsi="Times New Roman"/>
                      <w:bCs/>
                      <w:color w:val="000000"/>
                    </w:rPr>
                    <w:t>包括：制备仪主机1台，电源线1根，</w:t>
                  </w:r>
                </w:p>
                <w:p w14:paraId="3DB2CA61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Times New Roman" w:hAnsi="Times New Roman"/>
                      <w:bCs/>
                      <w:color w:val="000000"/>
                    </w:rPr>
                  </w:pPr>
                  <w:r>
                    <w:rPr>
                      <w:rFonts w:hint="default" w:ascii="Times New Roman" w:hAnsi="Times New Roman"/>
                      <w:bCs/>
                      <w:color w:val="000000"/>
                    </w:rPr>
                    <w:t>数据线1根，制备仪芯片适配器1个</w:t>
                  </w:r>
                </w:p>
              </w:tc>
            </w:tr>
          </w:tbl>
          <w:p w14:paraId="57B31B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15" w:leftChars="150" w:right="0"/>
              <w:jc w:val="left"/>
              <w:rPr>
                <w:rFonts w:hint="default" w:cs="Times New Roman"/>
                <w:bCs/>
                <w:color w:val="000000"/>
                <w:lang w:val="zh-CN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442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default" w:ascii="Times New Roman" w:hAnsi="Times New Roman"/>
                <w:bCs/>
                <w:lang w:val="en-US"/>
              </w:rPr>
            </w:pPr>
            <w:r>
              <w:rPr>
                <w:rFonts w:hint="default" w:ascii="Times New Roman" w:hAnsi="Times New Roman"/>
                <w:bCs/>
                <w:lang w:val="en-US"/>
              </w:rPr>
              <w:t>1套</w:t>
            </w:r>
          </w:p>
        </w:tc>
      </w:tr>
      <w:tr w14:paraId="6F5A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B183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/>
                <w:bCs/>
                <w:lang w:val="en-US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6"/>
              <w:tblpPr w:leftFromText="180" w:rightFromText="180" w:vertAnchor="page" w:horzAnchor="margin" w:tblpX="-84" w:tblpY="42"/>
              <w:tblOverlap w:val="never"/>
              <w:tblW w:w="495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50"/>
            </w:tblGrid>
            <w:tr w14:paraId="29B69C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4950" w:type="dxa"/>
                </w:tcPr>
                <w:p w14:paraId="58085DFA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Times New Roman" w:hAnsi="Times New Roman"/>
                      <w:bCs/>
                      <w:color w:val="000000"/>
                    </w:rPr>
                  </w:pPr>
                  <w:r>
                    <w:rPr>
                      <w:rFonts w:hint="default" w:ascii="Times New Roman" w:hAnsi="Times New Roman"/>
                      <w:bCs/>
                      <w:color w:val="000000"/>
                    </w:rPr>
                    <w:t>芯片</w:t>
                  </w:r>
                  <w:r>
                    <w:rPr>
                      <w:rFonts w:hint="eastAsia" w:ascii="Times New Roman" w:hAnsi="Times New Roman"/>
                      <w:bCs/>
                      <w:color w:val="000000"/>
                      <w:lang w:eastAsia="zh-CN"/>
                    </w:rPr>
                    <w:t>分析</w:t>
                  </w:r>
                  <w:r>
                    <w:rPr>
                      <w:rFonts w:hint="default" w:ascii="Times New Roman" w:hAnsi="Times New Roman"/>
                      <w:bCs/>
                      <w:color w:val="000000"/>
                    </w:rPr>
                    <w:t>仪</w:t>
                  </w:r>
                </w:p>
                <w:p w14:paraId="0D0F456D">
                  <w:pPr>
                    <w:pStyle w:val="38"/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  <w:t>包括：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  <w:t>阅读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  <w:t>仪主机1台，电源线1根，</w:t>
                  </w:r>
                </w:p>
                <w:p w14:paraId="213EEA22">
                  <w:pPr>
                    <w:pStyle w:val="38"/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  <w:t>数据线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  <w:t>根，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分析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1"/>
                      <w:szCs w:val="21"/>
                    </w:rPr>
                    <w:t>仪芯片适配器1个</w:t>
                  </w:r>
                </w:p>
              </w:tc>
            </w:tr>
          </w:tbl>
          <w:p w14:paraId="44DF235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2247" w:rightChars="1070" w:firstLine="480"/>
              <w:jc w:val="left"/>
              <w:rPr>
                <w:rFonts w:hint="default" w:ascii="Times New Roman" w:hAnsi="Times New Roman"/>
                <w:bCs/>
                <w:lang w:val="en-US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E0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default" w:ascii="Times New Roman" w:hAnsi="Times New Roman"/>
                <w:bCs/>
                <w:lang w:val="en-US"/>
              </w:rPr>
            </w:pPr>
            <w:r>
              <w:rPr>
                <w:rFonts w:hint="default" w:ascii="Times New Roman" w:hAnsi="Times New Roman"/>
                <w:bCs/>
                <w:lang w:val="en-US"/>
              </w:rPr>
              <w:t>1套</w:t>
            </w:r>
          </w:p>
        </w:tc>
      </w:tr>
      <w:tr w14:paraId="095A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E6A6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/>
                <w:bCs/>
                <w:lang w:val="en-US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E7F89">
            <w:pPr>
              <w:pStyle w:val="3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PCR扩增仪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E1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Times New Roman" w:hAnsi="Times New Roman" w:eastAsia="宋体"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lang w:val="en-US" w:eastAsia="zh-CN"/>
              </w:rPr>
              <w:t>1台</w:t>
            </w:r>
          </w:p>
        </w:tc>
      </w:tr>
      <w:tr w14:paraId="0114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59D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/>
                <w:bCs/>
                <w:lang w:val="en-US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5572">
            <w:pPr>
              <w:pStyle w:val="3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</w:rPr>
              <w:t>电脑及配套操作软件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9A2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default" w:ascii="Times New Roman" w:hAnsi="Times New Roman"/>
                <w:bCs/>
                <w:lang w:val="en-US"/>
              </w:rPr>
            </w:pPr>
            <w:r>
              <w:rPr>
                <w:rFonts w:hint="default" w:ascii="Times New Roman" w:hAnsi="Times New Roman"/>
                <w:bCs/>
                <w:lang w:val="en-US"/>
              </w:rPr>
              <w:t>2</w:t>
            </w:r>
            <w:r>
              <w:rPr>
                <w:rFonts w:hint="eastAsia" w:ascii="Times New Roman" w:hAnsi="Times New Roman"/>
                <w:bCs/>
                <w:lang w:val="en-US"/>
              </w:rPr>
              <w:t>套</w:t>
            </w:r>
          </w:p>
        </w:tc>
      </w:tr>
    </w:tbl>
    <w:p w14:paraId="63482425"/>
    <w:p w14:paraId="2BECFB38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54"/>
    <w:rsid w:val="00165302"/>
    <w:rsid w:val="001B2F92"/>
    <w:rsid w:val="00233B45"/>
    <w:rsid w:val="0055022D"/>
    <w:rsid w:val="00677206"/>
    <w:rsid w:val="00691656"/>
    <w:rsid w:val="00700E54"/>
    <w:rsid w:val="00A62297"/>
    <w:rsid w:val="00BE29DA"/>
    <w:rsid w:val="00EA2953"/>
    <w:rsid w:val="00FB6C45"/>
    <w:rsid w:val="00FD1141"/>
    <w:rsid w:val="02A13A3C"/>
    <w:rsid w:val="1F2647C1"/>
    <w:rsid w:val="737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cs="宋体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kern w:val="2"/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kern w:val="2"/>
      <w:sz w:val="18"/>
      <w:szCs w:val="18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917</Characters>
  <Lines>6</Lines>
  <Paragraphs>1</Paragraphs>
  <TotalTime>5</TotalTime>
  <ScaleCrop>false</ScaleCrop>
  <LinksUpToDate>false</LinksUpToDate>
  <CharactersWithSpaces>919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2026-02-12T06:56:00Z</dcterms:created>
  <dc:creator>婉怡 许</dc:creator>
  <cp:lastModifiedBy>chan</cp:lastModifiedBy>
  <dcterms:modified xsi:type="dcterms:W3CDTF">2026-06-08T01:12:30Z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EB9F0590E8344195890C750AB1869FEC_12</vt:lpwstr>
  </property>
</Properties>
</file>