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CD79"/>
    <w:p w14:paraId="7D017FA1">
      <w:pPr>
        <w:jc w:val="center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全自动核酸蛋白分析系统</w:t>
      </w:r>
      <w:r>
        <w:rPr>
          <w:rFonts w:hint="eastAsia"/>
          <w:sz w:val="28"/>
          <w:szCs w:val="28"/>
          <w:lang w:val="en-US" w:eastAsia="zh-CN"/>
        </w:rPr>
        <w:t>参数</w:t>
      </w:r>
    </w:p>
    <w:p w14:paraId="00626B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主要技术参数：</w:t>
      </w:r>
    </w:p>
    <w:p w14:paraId="5DA430C2">
      <w:pPr>
        <w:numPr>
          <w:ilvl w:val="0"/>
          <w:numId w:val="1"/>
        </w:numPr>
      </w:pPr>
      <w:r>
        <w:rPr>
          <w:rFonts w:hint="eastAsia"/>
        </w:rPr>
        <w:t>功能：采用毛细管电泳原理，可应用于DNA、RNA等核酸的电泳分析，能进行全自动的核酸片段大小测定，核酸质控，浓度测定，微卫星分析，蛋白检测等；</w:t>
      </w:r>
    </w:p>
    <w:p w14:paraId="691DB6FB">
      <w:pPr>
        <w:numPr>
          <w:ilvl w:val="0"/>
          <w:numId w:val="1"/>
        </w:numPr>
      </w:pPr>
      <w:r>
        <w:rPr>
          <w:rFonts w:hint="eastAsia"/>
        </w:rPr>
        <w:t>自动化：采用预装式卡夹，即插即用，无须人工制胶、灌胶、上样，整个过程全部由仪器自动来完成；每轮分析后，仪器自动清洗毛细管，无须人工清洗；无需手工添加染料，无需人工更换毛细管模块 ；</w:t>
      </w:r>
    </w:p>
    <w:p w14:paraId="343059B4">
      <w:pPr>
        <w:numPr>
          <w:ilvl w:val="0"/>
          <w:numId w:val="1"/>
        </w:numPr>
      </w:pPr>
      <w:r>
        <w:rPr>
          <w:rFonts w:hint="eastAsia"/>
        </w:rPr>
        <w:t>无污染：系统中仪器、耗材及检测过程均为全封闭式，避免了核酸染色剂等有害物质与操作人员的接触；</w:t>
      </w:r>
      <w:bookmarkStart w:id="0" w:name="_GoBack"/>
      <w:bookmarkEnd w:id="0"/>
    </w:p>
    <w:p w14:paraId="2FF6B18C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、上样形式：兼容常规单管0.2mlPCR管、常规8联管、12联管；可以直接96孔板上样；可升级384孔板；可搭配专用微量管，样品管中溶液需求量最低≤1-2ul；可以一次性完成1-106个任意个数样品的检测分析不浪费试剂；也可单次自动处理单个样本不造成浪费；</w:t>
      </w:r>
    </w:p>
    <w:p w14:paraId="27D8A776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5、卡夹：提供不少于8种预制胶卡夹，适用于DNA高分辨率分析、DNA普通产物分析、DNA快速筛查分析、RNA质量控制分析等应用；RNA质控分析时提供RNA完整性得分RQN值和DV200值，DNA质控可提供DNA完整性指数DQN值；</w:t>
      </w:r>
      <w:r>
        <w:t xml:space="preserve"> </w:t>
      </w:r>
    </w:p>
    <w:p w14:paraId="6A60D7FD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6、检测速度：1-2分钟/样本且同时≤300bp的DNA片段分辨率优于10bp；对&lt;500bp的DNA片段，可达1-4bp的分辨率，200bp片段可达1bp的分辨率；</w:t>
      </w:r>
    </w:p>
    <w:p w14:paraId="353EF930">
      <w:r>
        <w:rPr>
          <w:rFonts w:hint="eastAsia"/>
        </w:rPr>
        <w:t>7、灵敏度：无需对样品进行纯化，可以直接对PCR产物原液进行检测，DNA样品的检测灵敏度可达1pg/ul；RNA样本的检测灵敏度可达5pg/uL</w:t>
      </w:r>
    </w:p>
    <w:p w14:paraId="6AA80393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8、蛋白分析：可以进行蛋白电泳分析，蛋白样品的检测灵敏度可达0.5ng/uL，分离范围5-250 kda，20 kda内最高分辨率可达1 kda，流程步骤简单，只需要6分钟内可出结果，无污染及有毒物质产生；</w:t>
      </w:r>
      <w:r>
        <w:t xml:space="preserve"> </w:t>
      </w:r>
    </w:p>
    <w:p w14:paraId="571138CB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9、软件功能：软件可以自动输出电泳胶图、峰图、样品浓度、片段大小、片段分布占比、可以对结果进行手动调整分析，比如基线，阈值线、所选片段范围等。</w:t>
      </w:r>
    </w:p>
    <w:p w14:paraId="7248BF8E">
      <w:r>
        <w:rPr>
          <w:rFonts w:hint="eastAsia"/>
        </w:rPr>
        <w:t>10、仪器配套软件支持样本实时检测与已完成数据结果同步分析，检测进程与数据分析操作相互独立、互不干扰，可在检测中查看、编辑、导出已完成数据；</w:t>
      </w:r>
    </w:p>
    <w:p w14:paraId="7E129F69">
      <w:r>
        <w:rPr>
          <w:rFonts w:hint="eastAsia"/>
        </w:rPr>
        <w:t>11、仪器控制软件可升级具有用户管理、文件保护和溯源追溯功能，满足FDA 21 CFR Part 11的要求，需提供FDA 21 CFR Part 11证书证明文件。</w:t>
      </w:r>
    </w:p>
    <w:p w14:paraId="6199CF73">
      <w:r>
        <w:rPr>
          <w:rFonts w:hint="eastAsia"/>
        </w:rPr>
        <w:t>12、采用空气压缩机或其他给压装置，操作方便，小巧便于放置和移动，无需氮气钢瓶，无需后期灌气；</w:t>
      </w:r>
    </w:p>
    <w:p w14:paraId="1A00516B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13、具有通卡夹配件，在仪器外部对卡夹进行通胶，可以对卡夹中毛细管中的胶进行更好的置换，对过期卡夹或者保存不当卡夹进行处理。</w:t>
      </w:r>
    </w:p>
    <w:p w14:paraId="74C31ED7"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14、供应仪器具有SCI期刊上发表文章的引用记录。</w:t>
      </w:r>
    </w:p>
    <w:p w14:paraId="1523AC32">
      <w:r>
        <w:rPr>
          <w:rFonts w:hint="eastAsia"/>
        </w:rPr>
        <w:t>16、配置清单：主机一台、操作电脑一台、分析软件一套、离线授权软件5套、DNA标准预制胶卡夹1支、缓冲液试剂一套、蛋白预制胶卡夹及标准品一套、绝对定量浓度卡夹试剂盒一盒。</w:t>
      </w:r>
    </w:p>
    <w:p w14:paraId="3518A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6D91A"/>
    <w:multiLevelType w:val="singleLevel"/>
    <w:tmpl w:val="6CE6D9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A082B"/>
    <w:rsid w:val="0066765A"/>
    <w:rsid w:val="009053F1"/>
    <w:rsid w:val="00E5671B"/>
    <w:rsid w:val="05416CA5"/>
    <w:rsid w:val="2AC01D81"/>
    <w:rsid w:val="320D16F6"/>
    <w:rsid w:val="44C2101D"/>
    <w:rsid w:val="4A7A082B"/>
    <w:rsid w:val="4D55706F"/>
    <w:rsid w:val="534C0E09"/>
    <w:rsid w:val="75B82FB1"/>
    <w:rsid w:val="769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next w:val="2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1037</Words>
  <Characters>1174</Characters>
  <Lines>8</Lines>
  <Paragraphs>2</Paragraphs>
  <TotalTime>7</TotalTime>
  <ScaleCrop>false</ScaleCrop>
  <LinksUpToDate>false</LinksUpToDate>
  <CharactersWithSpaces>1188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2026-04-17T01:17:00Z</dcterms:created>
  <dc:creator>微信用户</dc:creator>
  <cp:lastModifiedBy>chan</cp:lastModifiedBy>
  <dcterms:modified xsi:type="dcterms:W3CDTF">2026-05-12T09:13:05Z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AA42D278A67246849F3A725658689021_13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