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F0AE0E">
      <w:pPr>
        <w:pStyle w:val="13"/>
        <w:widowControl/>
        <w:shd w:val="clear" w:fill="FFFFFF"/>
      </w:pPr>
      <w:r>
        <w:t>江门市中心医院医用耗材SPD系统及集配服务需求</w:t>
      </w:r>
    </w:p>
    <w:p w14:paraId="7E7DB8FC">
      <w:pPr>
        <w:pStyle w:val="2"/>
        <w:widowControl/>
        <w:numPr>
          <w:ilvl w:val="0"/>
          <w:numId w:val="1"/>
        </w:numPr>
        <w:shd w:val="clear" w:fill="FFFFFF"/>
        <w:topLinePunct w:val="0"/>
        <w:ind w:left="0" w:leftChars="0" w:firstLine="0" w:firstLineChars="0"/>
        <w:rPr>
          <w:rFonts w:hint="eastAsia" w:ascii="黑体" w:hAnsi="黑体" w:eastAsia="黑体" w:cs="黑体"/>
          <w:b w:val="0"/>
        </w:rPr>
      </w:pPr>
      <w:r>
        <w:t>SPD项目需求</w:t>
      </w:r>
    </w:p>
    <w:p w14:paraId="78FA7CA0">
      <w:pPr>
        <w:pStyle w:val="3"/>
        <w:numPr>
          <w:ilvl w:val="0"/>
          <w:numId w:val="2"/>
        </w:numPr>
        <w:ind w:left="0" w:leftChars="0" w:firstLine="0" w:firstLineChars="0"/>
        <w:rPr>
          <w:b w:val="0"/>
        </w:rPr>
      </w:pPr>
      <w:r>
        <w:t>硬件及基建投入</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99"/>
        <w:gridCol w:w="2880"/>
        <w:gridCol w:w="2932"/>
        <w:gridCol w:w="498"/>
        <w:gridCol w:w="513"/>
      </w:tblGrid>
      <w:tr w14:paraId="69A51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000" w:type="pct"/>
            <w:gridSpan w:val="5"/>
            <w:tcBorders>
              <w:top w:val="single" w:color="000000" w:sz="4" w:space="0"/>
              <w:left w:val="single" w:color="000000" w:sz="4" w:space="0"/>
              <w:bottom w:val="single" w:color="000000" w:sz="4" w:space="0"/>
              <w:right w:val="single" w:color="000000" w:sz="4" w:space="0"/>
              <w:tl2br w:val="nil"/>
            </w:tcBorders>
            <w:shd w:val="clear" w:color="auto" w:fill="FFFFFF"/>
            <w:noWrap/>
            <w:vAlign w:val="center"/>
          </w:tcPr>
          <w:p w14:paraId="6D655EC6">
            <w:pPr>
              <w:keepNext w:val="0"/>
              <w:keepLines w:val="0"/>
              <w:widowControl/>
              <w:suppressLineNumbers w:val="0"/>
              <w:snapToGrid w:val="0"/>
              <w:ind w:left="0" w:leftChars="0" w:right="0" w:rightChars="0" w:firstLine="0" w:firstLineChars="0"/>
              <w:jc w:val="center"/>
              <w:textAlignment w:val="center"/>
              <w:rPr>
                <w:rFonts w:ascii="微软雅黑" w:hAnsi="微软雅黑" w:eastAsia="微软雅黑" w:cs="微软雅黑"/>
                <w:b w:val="0"/>
                <w:i w:val="0"/>
                <w:iCs w:val="0"/>
                <w:color w:val="000000"/>
                <w:sz w:val="28"/>
                <w:szCs w:val="28"/>
                <w:u w:val="none"/>
              </w:rPr>
            </w:pPr>
            <w:r>
              <w:rPr>
                <w:rFonts w:hint="eastAsia" w:ascii="微软雅黑" w:hAnsi="微软雅黑" w:eastAsia="微软雅黑" w:cs="微软雅黑"/>
                <w:b w:val="0"/>
                <w:i w:val="0"/>
                <w:iCs w:val="0"/>
                <w:color w:val="000000"/>
                <w:kern w:val="0"/>
                <w:sz w:val="21"/>
                <w:szCs w:val="21"/>
                <w:u w:val="none"/>
                <w:lang w:val="en-US" w:eastAsia="zh-CN" w:bidi="ar"/>
              </w:rPr>
              <w:t>医用耗材精细化管理一次性硬件建设内容</w:t>
            </w:r>
          </w:p>
        </w:tc>
      </w:tr>
      <w:tr w14:paraId="08003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4D18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i w:val="0"/>
                <w:iCs w:val="0"/>
                <w:color w:val="000000"/>
                <w:sz w:val="18"/>
                <w:szCs w:val="18"/>
                <w:u w:val="none"/>
              </w:rPr>
            </w:pPr>
            <w:r>
              <w:rPr>
                <w:rFonts w:hint="eastAsia" w:ascii="微软雅黑" w:hAnsi="微软雅黑" w:eastAsia="微软雅黑" w:cs="微软雅黑"/>
                <w:b w:val="0"/>
                <w:bCs/>
                <w:i w:val="0"/>
                <w:iCs w:val="0"/>
                <w:color w:val="000000"/>
                <w:kern w:val="0"/>
                <w:sz w:val="18"/>
                <w:szCs w:val="18"/>
                <w:u w:val="none"/>
                <w:lang w:val="en-US" w:eastAsia="zh-CN" w:bidi="ar"/>
              </w:rPr>
              <w:t>项目投入</w:t>
            </w:r>
          </w:p>
        </w:tc>
        <w:tc>
          <w:tcPr>
            <w:tcW w:w="16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27B96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i w:val="0"/>
                <w:iCs w:val="0"/>
                <w:color w:val="000000"/>
                <w:sz w:val="18"/>
                <w:szCs w:val="18"/>
                <w:u w:val="none"/>
              </w:rPr>
            </w:pPr>
            <w:r>
              <w:rPr>
                <w:rFonts w:hint="eastAsia" w:ascii="微软雅黑" w:hAnsi="微软雅黑" w:eastAsia="微软雅黑" w:cs="微软雅黑"/>
                <w:b w:val="0"/>
                <w:bCs/>
                <w:i w:val="0"/>
                <w:iCs w:val="0"/>
                <w:color w:val="000000"/>
                <w:kern w:val="0"/>
                <w:sz w:val="18"/>
                <w:szCs w:val="18"/>
                <w:u w:val="none"/>
                <w:lang w:val="en-US" w:eastAsia="zh-CN" w:bidi="ar"/>
              </w:rPr>
              <w:t>名称</w:t>
            </w:r>
          </w:p>
        </w:tc>
        <w:tc>
          <w:tcPr>
            <w:tcW w:w="1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2C1B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i w:val="0"/>
                <w:iCs w:val="0"/>
                <w:color w:val="000000"/>
                <w:sz w:val="18"/>
                <w:szCs w:val="18"/>
                <w:u w:val="none"/>
              </w:rPr>
            </w:pPr>
            <w:r>
              <w:rPr>
                <w:rFonts w:hint="eastAsia" w:ascii="微软雅黑" w:hAnsi="微软雅黑" w:eastAsia="微软雅黑" w:cs="微软雅黑"/>
                <w:b w:val="0"/>
                <w:bCs/>
                <w:i w:val="0"/>
                <w:iCs w:val="0"/>
                <w:color w:val="000000"/>
                <w:kern w:val="0"/>
                <w:sz w:val="18"/>
                <w:szCs w:val="18"/>
                <w:u w:val="none"/>
                <w:lang w:val="en-US" w:eastAsia="zh-CN" w:bidi="ar"/>
              </w:rPr>
              <w:t>产品类型</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98261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i w:val="0"/>
                <w:iCs w:val="0"/>
                <w:color w:val="000000"/>
                <w:sz w:val="18"/>
                <w:szCs w:val="18"/>
                <w:u w:val="none"/>
              </w:rPr>
            </w:pPr>
            <w:r>
              <w:rPr>
                <w:rFonts w:hint="eastAsia" w:ascii="微软雅黑" w:hAnsi="微软雅黑" w:eastAsia="微软雅黑" w:cs="微软雅黑"/>
                <w:b w:val="0"/>
                <w:bCs/>
                <w:i w:val="0"/>
                <w:iCs w:val="0"/>
                <w:color w:val="000000"/>
                <w:kern w:val="0"/>
                <w:sz w:val="18"/>
                <w:szCs w:val="18"/>
                <w:u w:val="none"/>
                <w:lang w:val="en-US" w:eastAsia="zh-CN" w:bidi="ar"/>
              </w:rPr>
              <w:t>数量</w:t>
            </w:r>
          </w:p>
        </w:tc>
        <w:tc>
          <w:tcPr>
            <w:tcW w:w="2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0A62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i w:val="0"/>
                <w:iCs w:val="0"/>
                <w:color w:val="000000"/>
                <w:sz w:val="18"/>
                <w:szCs w:val="18"/>
                <w:u w:val="none"/>
              </w:rPr>
            </w:pPr>
            <w:r>
              <w:rPr>
                <w:rFonts w:hint="eastAsia" w:ascii="微软雅黑" w:hAnsi="微软雅黑" w:eastAsia="微软雅黑" w:cs="微软雅黑"/>
                <w:b w:val="0"/>
                <w:bCs/>
                <w:i w:val="0"/>
                <w:iCs w:val="0"/>
                <w:color w:val="000000"/>
                <w:kern w:val="0"/>
                <w:sz w:val="18"/>
                <w:szCs w:val="18"/>
                <w:u w:val="none"/>
                <w:lang w:val="en-US" w:eastAsia="zh-CN" w:bidi="ar"/>
              </w:rPr>
              <w:t>单位</w:t>
            </w:r>
          </w:p>
        </w:tc>
      </w:tr>
      <w:tr w14:paraId="14E46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9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FA0C3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i w:val="0"/>
                <w:iCs w:val="0"/>
                <w:color w:val="000000"/>
                <w:sz w:val="18"/>
                <w:szCs w:val="18"/>
                <w:u w:val="none"/>
              </w:rPr>
            </w:pPr>
            <w:r>
              <w:rPr>
                <w:rFonts w:hint="eastAsia" w:ascii="微软雅黑" w:hAnsi="微软雅黑" w:eastAsia="微软雅黑" w:cs="微软雅黑"/>
                <w:b w:val="0"/>
                <w:bCs/>
                <w:i w:val="0"/>
                <w:iCs w:val="0"/>
                <w:color w:val="000000"/>
                <w:kern w:val="0"/>
                <w:sz w:val="18"/>
                <w:szCs w:val="18"/>
                <w:u w:val="none"/>
                <w:lang w:val="en-US" w:eastAsia="zh-CN" w:bidi="ar"/>
              </w:rPr>
              <w:t>院外中心仓及东院区二级仓库改造</w:t>
            </w:r>
          </w:p>
        </w:tc>
        <w:tc>
          <w:tcPr>
            <w:tcW w:w="16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13EA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院外仓装修费（含设计）</w:t>
            </w:r>
          </w:p>
        </w:tc>
        <w:tc>
          <w:tcPr>
            <w:tcW w:w="1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7B5AB">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库房按实际使用做分区建设、消防、办公家具、科室耗材库房弱电工程、空调安装工程、库房改造、院区网络升级工程等</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09EB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1</w:t>
            </w:r>
          </w:p>
        </w:tc>
        <w:tc>
          <w:tcPr>
            <w:tcW w:w="2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8F12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批</w:t>
            </w:r>
          </w:p>
        </w:tc>
      </w:tr>
      <w:tr w14:paraId="41003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9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69407F">
            <w:pPr>
              <w:snapToGrid w:val="0"/>
              <w:ind w:left="0" w:leftChars="0" w:right="0" w:rightChars="0" w:firstLine="0" w:firstLineChars="0"/>
              <w:jc w:val="center"/>
              <w:rPr>
                <w:rFonts w:hint="eastAsia" w:ascii="微软雅黑" w:hAnsi="微软雅黑" w:eastAsia="微软雅黑" w:cs="微软雅黑"/>
                <w:b w:val="0"/>
                <w:bCs/>
                <w:i w:val="0"/>
                <w:iCs w:val="0"/>
                <w:color w:val="000000"/>
                <w:sz w:val="18"/>
                <w:szCs w:val="18"/>
                <w:u w:val="none"/>
              </w:rPr>
            </w:pPr>
          </w:p>
        </w:tc>
        <w:tc>
          <w:tcPr>
            <w:tcW w:w="16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8A0F1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院外仓运输车（冷藏车/厢式运输车/多用途乘用车）</w:t>
            </w:r>
          </w:p>
        </w:tc>
        <w:tc>
          <w:tcPr>
            <w:tcW w:w="1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D768A2">
            <w:pPr>
              <w:snapToGrid w:val="0"/>
              <w:ind w:left="0" w:leftChars="0" w:right="0" w:rightChars="0" w:firstLine="0" w:firstLineChars="0"/>
              <w:jc w:val="left"/>
              <w:rPr>
                <w:rFonts w:hint="default" w:ascii="微软雅黑" w:hAnsi="微软雅黑" w:eastAsia="微软雅黑" w:cs="微软雅黑"/>
                <w:b w:val="0"/>
                <w:i w:val="0"/>
                <w:iCs w:val="0"/>
                <w:color w:val="000000"/>
                <w:sz w:val="18"/>
                <w:szCs w:val="18"/>
                <w:u w:val="none"/>
                <w:lang w:val="en-US" w:eastAsia="zh-CN"/>
              </w:rPr>
            </w:pPr>
            <w:r>
              <w:rPr>
                <w:rFonts w:hint="eastAsia" w:ascii="微软雅黑" w:hAnsi="微软雅黑" w:eastAsia="微软雅黑" w:cs="微软雅黑"/>
                <w:b w:val="0"/>
                <w:i w:val="0"/>
                <w:iCs w:val="0"/>
                <w:color w:val="000000"/>
                <w:sz w:val="18"/>
                <w:szCs w:val="18"/>
                <w:u w:val="none"/>
                <w:lang w:val="en-US" w:eastAsia="zh-CN"/>
              </w:rPr>
              <w:t>东院区车库限高2.5米</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C9099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3</w:t>
            </w:r>
          </w:p>
        </w:tc>
        <w:tc>
          <w:tcPr>
            <w:tcW w:w="2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1C76E">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台</w:t>
            </w:r>
          </w:p>
        </w:tc>
      </w:tr>
      <w:tr w14:paraId="2A8F1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9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BA5809">
            <w:pPr>
              <w:snapToGrid w:val="0"/>
              <w:ind w:left="0" w:leftChars="0" w:right="0" w:rightChars="0" w:firstLine="0" w:firstLineChars="0"/>
              <w:jc w:val="center"/>
              <w:rPr>
                <w:rFonts w:hint="eastAsia" w:ascii="微软雅黑" w:hAnsi="微软雅黑" w:eastAsia="微软雅黑" w:cs="微软雅黑"/>
                <w:b w:val="0"/>
                <w:bCs/>
                <w:i w:val="0"/>
                <w:iCs w:val="0"/>
                <w:color w:val="000000"/>
                <w:sz w:val="18"/>
                <w:szCs w:val="18"/>
                <w:u w:val="none"/>
              </w:rPr>
            </w:pPr>
          </w:p>
        </w:tc>
        <w:tc>
          <w:tcPr>
            <w:tcW w:w="16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D979B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b w:val="0"/>
                <w:i w:val="0"/>
                <w:iCs w:val="0"/>
                <w:color w:val="000000"/>
                <w:kern w:val="0"/>
                <w:sz w:val="18"/>
                <w:szCs w:val="18"/>
                <w:u w:val="none"/>
                <w:lang w:val="en-US" w:eastAsia="zh-CN" w:bidi="ar"/>
              </w:rPr>
            </w:pPr>
            <w:r>
              <w:rPr>
                <w:rFonts w:hint="eastAsia" w:ascii="微软雅黑" w:hAnsi="微软雅黑" w:eastAsia="微软雅黑" w:cs="微软雅黑"/>
                <w:b w:val="0"/>
                <w:i w:val="0"/>
                <w:iCs w:val="0"/>
                <w:color w:val="000000"/>
                <w:kern w:val="0"/>
                <w:sz w:val="18"/>
                <w:szCs w:val="18"/>
                <w:u w:val="none"/>
                <w:lang w:val="en-US" w:eastAsia="zh-CN" w:bidi="ar"/>
              </w:rPr>
              <w:t>新老院区二级库改造</w:t>
            </w:r>
          </w:p>
        </w:tc>
        <w:tc>
          <w:tcPr>
            <w:tcW w:w="1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C180C">
            <w:pPr>
              <w:keepNext w:val="0"/>
              <w:keepLines w:val="0"/>
              <w:widowControl/>
              <w:suppressLineNumbers w:val="0"/>
              <w:snapToGrid w:val="0"/>
              <w:ind w:left="0" w:leftChars="0" w:right="0" w:rightChars="0" w:firstLine="0" w:firstLineChars="0"/>
              <w:jc w:val="left"/>
              <w:textAlignment w:val="center"/>
              <w:rPr>
                <w:rFonts w:hint="default" w:ascii="微软雅黑" w:hAnsi="微软雅黑" w:eastAsia="微软雅黑" w:cs="微软雅黑"/>
                <w:b w:val="0"/>
                <w:i w:val="0"/>
                <w:iCs w:val="0"/>
                <w:color w:val="000000"/>
                <w:kern w:val="0"/>
                <w:sz w:val="18"/>
                <w:szCs w:val="18"/>
                <w:u w:val="none"/>
                <w:lang w:val="en-US" w:eastAsia="zh-CN" w:bidi="ar"/>
              </w:rPr>
            </w:pPr>
            <w:r>
              <w:rPr>
                <w:rFonts w:hint="eastAsia" w:ascii="微软雅黑" w:hAnsi="微软雅黑" w:eastAsia="微软雅黑" w:cs="微软雅黑"/>
                <w:b w:val="0"/>
                <w:i w:val="0"/>
                <w:iCs w:val="0"/>
                <w:color w:val="000000"/>
                <w:kern w:val="0"/>
                <w:sz w:val="18"/>
                <w:szCs w:val="18"/>
                <w:u w:val="none"/>
                <w:lang w:val="en-US" w:eastAsia="zh-CN" w:bidi="ar"/>
              </w:rPr>
              <w:t>智能屋</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719B5A">
            <w:pPr>
              <w:keepNext w:val="0"/>
              <w:keepLines w:val="0"/>
              <w:widowControl/>
              <w:suppressLineNumbers w:val="0"/>
              <w:snapToGrid w:val="0"/>
              <w:ind w:left="0" w:leftChars="0" w:right="0" w:rightChars="0" w:firstLine="0" w:firstLineChars="0"/>
              <w:jc w:val="center"/>
              <w:textAlignment w:val="center"/>
              <w:rPr>
                <w:rFonts w:hint="default" w:ascii="微软雅黑" w:hAnsi="微软雅黑" w:eastAsia="微软雅黑" w:cs="微软雅黑"/>
                <w:b w:val="0"/>
                <w:i w:val="0"/>
                <w:iCs w:val="0"/>
                <w:color w:val="000000"/>
                <w:sz w:val="18"/>
                <w:szCs w:val="18"/>
                <w:u w:val="none"/>
                <w:lang w:val="en-US" w:eastAsia="zh-CN"/>
              </w:rPr>
            </w:pPr>
            <w:r>
              <w:rPr>
                <w:rFonts w:hint="eastAsia" w:ascii="微软雅黑" w:hAnsi="微软雅黑" w:eastAsia="微软雅黑" w:cs="微软雅黑"/>
                <w:b w:val="0"/>
                <w:i w:val="0"/>
                <w:iCs w:val="0"/>
                <w:color w:val="000000"/>
                <w:sz w:val="18"/>
                <w:szCs w:val="18"/>
                <w:u w:val="none"/>
                <w:lang w:val="en-US" w:eastAsia="zh-CN"/>
              </w:rPr>
              <w:t>5</w:t>
            </w:r>
          </w:p>
        </w:tc>
        <w:tc>
          <w:tcPr>
            <w:tcW w:w="2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4C630">
            <w:pPr>
              <w:keepNext w:val="0"/>
              <w:keepLines w:val="0"/>
              <w:widowControl/>
              <w:suppressLineNumbers w:val="0"/>
              <w:snapToGrid w:val="0"/>
              <w:ind w:left="0" w:leftChars="0" w:right="0" w:rightChars="0" w:firstLine="0" w:firstLineChars="0"/>
              <w:jc w:val="center"/>
              <w:textAlignment w:val="center"/>
              <w:rPr>
                <w:rFonts w:hint="default" w:ascii="微软雅黑" w:hAnsi="微软雅黑" w:eastAsia="微软雅黑" w:cs="微软雅黑"/>
                <w:b w:val="0"/>
                <w:i w:val="0"/>
                <w:iCs w:val="0"/>
                <w:color w:val="000000"/>
                <w:kern w:val="0"/>
                <w:sz w:val="18"/>
                <w:szCs w:val="18"/>
                <w:u w:val="none"/>
                <w:lang w:val="en-US" w:eastAsia="zh-CN" w:bidi="ar"/>
              </w:rPr>
            </w:pPr>
            <w:r>
              <w:rPr>
                <w:rFonts w:hint="eastAsia" w:ascii="微软雅黑" w:hAnsi="微软雅黑" w:eastAsia="微软雅黑" w:cs="微软雅黑"/>
                <w:b w:val="0"/>
                <w:i w:val="0"/>
                <w:iCs w:val="0"/>
                <w:color w:val="000000"/>
                <w:kern w:val="0"/>
                <w:sz w:val="18"/>
                <w:szCs w:val="18"/>
                <w:u w:val="none"/>
                <w:lang w:val="en-US" w:eastAsia="zh-CN" w:bidi="ar"/>
              </w:rPr>
              <w:t>间</w:t>
            </w:r>
          </w:p>
        </w:tc>
      </w:tr>
      <w:tr w14:paraId="4E4DE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9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118674">
            <w:pPr>
              <w:snapToGrid w:val="0"/>
              <w:ind w:left="0" w:leftChars="0" w:right="0" w:rightChars="0" w:firstLine="0" w:firstLineChars="0"/>
              <w:jc w:val="center"/>
              <w:rPr>
                <w:rFonts w:hint="eastAsia" w:ascii="微软雅黑" w:hAnsi="微软雅黑" w:eastAsia="微软雅黑" w:cs="微软雅黑"/>
                <w:b w:val="0"/>
                <w:bCs/>
                <w:i w:val="0"/>
                <w:iCs w:val="0"/>
                <w:color w:val="000000"/>
                <w:sz w:val="18"/>
                <w:szCs w:val="18"/>
                <w:u w:val="none"/>
              </w:rPr>
            </w:pPr>
          </w:p>
        </w:tc>
        <w:tc>
          <w:tcPr>
            <w:tcW w:w="16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E0031A">
            <w:pPr>
              <w:keepNext w:val="0"/>
              <w:keepLines w:val="0"/>
              <w:widowControl/>
              <w:suppressLineNumbers w:val="0"/>
              <w:snapToGrid w:val="0"/>
              <w:ind w:left="0" w:leftChars="0" w:right="0" w:rightChars="0" w:firstLine="0" w:firstLineChars="0"/>
              <w:jc w:val="left"/>
              <w:textAlignment w:val="center"/>
              <w:rPr>
                <w:rFonts w:hint="default" w:ascii="微软雅黑" w:hAnsi="微软雅黑" w:eastAsia="微软雅黑" w:cs="微软雅黑"/>
                <w:b w:val="0"/>
                <w:i w:val="0"/>
                <w:iCs w:val="0"/>
                <w:color w:val="000000"/>
                <w:sz w:val="18"/>
                <w:szCs w:val="18"/>
                <w:u w:val="none"/>
                <w:lang w:val="en-US" w:eastAsia="zh-CN"/>
              </w:rPr>
            </w:pPr>
            <w:r>
              <w:rPr>
                <w:rFonts w:hint="eastAsia" w:ascii="微软雅黑" w:hAnsi="微软雅黑" w:eastAsia="微软雅黑" w:cs="微软雅黑"/>
                <w:b w:val="0"/>
                <w:i w:val="0"/>
                <w:iCs w:val="0"/>
                <w:color w:val="000000"/>
                <w:sz w:val="18"/>
                <w:szCs w:val="18"/>
                <w:u w:val="none"/>
                <w:lang w:val="en-US" w:eastAsia="zh-CN"/>
              </w:rPr>
              <w:t>新老院区高值耗材柜</w:t>
            </w:r>
          </w:p>
        </w:tc>
        <w:tc>
          <w:tcPr>
            <w:tcW w:w="1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70972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高值耗材柜（含智能柜管理系统）</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7CDFF">
            <w:pPr>
              <w:keepNext w:val="0"/>
              <w:keepLines w:val="0"/>
              <w:widowControl/>
              <w:suppressLineNumbers w:val="0"/>
              <w:snapToGrid w:val="0"/>
              <w:ind w:left="0" w:leftChars="0" w:right="0" w:rightChars="0" w:firstLine="0" w:firstLineChars="0"/>
              <w:jc w:val="center"/>
              <w:textAlignment w:val="center"/>
              <w:rPr>
                <w:rFonts w:hint="default" w:ascii="微软雅黑" w:hAnsi="微软雅黑" w:eastAsia="微软雅黑" w:cs="微软雅黑"/>
                <w:b w:val="0"/>
                <w:i w:val="0"/>
                <w:iCs w:val="0"/>
                <w:color w:val="000000"/>
                <w:sz w:val="18"/>
                <w:szCs w:val="18"/>
                <w:u w:val="none"/>
                <w:lang w:val="en-US" w:eastAsia="zh-CN"/>
              </w:rPr>
            </w:pPr>
            <w:r>
              <w:rPr>
                <w:rFonts w:hint="eastAsia" w:ascii="微软雅黑" w:hAnsi="微软雅黑" w:eastAsia="微软雅黑" w:cs="微软雅黑"/>
                <w:b w:val="0"/>
                <w:i w:val="0"/>
                <w:iCs w:val="0"/>
                <w:color w:val="000000"/>
                <w:sz w:val="18"/>
                <w:szCs w:val="18"/>
                <w:u w:val="none"/>
                <w:lang w:val="en-US" w:eastAsia="zh-CN"/>
              </w:rPr>
              <w:t>40</w:t>
            </w:r>
          </w:p>
        </w:tc>
        <w:tc>
          <w:tcPr>
            <w:tcW w:w="2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0BB8E">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个</w:t>
            </w:r>
          </w:p>
        </w:tc>
      </w:tr>
      <w:tr w14:paraId="1C584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9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D1F53C">
            <w:pPr>
              <w:snapToGrid w:val="0"/>
              <w:ind w:left="0" w:leftChars="0" w:right="0" w:rightChars="0" w:firstLine="0" w:firstLineChars="0"/>
              <w:jc w:val="center"/>
              <w:rPr>
                <w:rFonts w:hint="eastAsia" w:ascii="微软雅黑" w:hAnsi="微软雅黑" w:eastAsia="微软雅黑" w:cs="微软雅黑"/>
                <w:b w:val="0"/>
                <w:bCs/>
                <w:i w:val="0"/>
                <w:iCs w:val="0"/>
                <w:color w:val="000000"/>
                <w:sz w:val="18"/>
                <w:szCs w:val="18"/>
                <w:u w:val="none"/>
              </w:rPr>
            </w:pPr>
          </w:p>
        </w:tc>
        <w:tc>
          <w:tcPr>
            <w:tcW w:w="169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E712F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东院区/本院区中转仓库改造</w:t>
            </w:r>
          </w:p>
        </w:tc>
        <w:tc>
          <w:tcPr>
            <w:tcW w:w="1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D8F3B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基建改造</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681A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1</w:t>
            </w:r>
          </w:p>
        </w:tc>
        <w:tc>
          <w:tcPr>
            <w:tcW w:w="2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75FE3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批</w:t>
            </w:r>
          </w:p>
        </w:tc>
      </w:tr>
      <w:tr w14:paraId="5F63F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9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7A2A4B">
            <w:pPr>
              <w:snapToGrid w:val="0"/>
              <w:ind w:left="0" w:leftChars="0" w:right="0" w:rightChars="0" w:firstLine="0" w:firstLineChars="0"/>
              <w:jc w:val="center"/>
              <w:rPr>
                <w:rFonts w:hint="eastAsia" w:ascii="微软雅黑" w:hAnsi="微软雅黑" w:eastAsia="微软雅黑" w:cs="微软雅黑"/>
                <w:b w:val="0"/>
                <w:bCs/>
                <w:i w:val="0"/>
                <w:iCs w:val="0"/>
                <w:color w:val="000000"/>
                <w:sz w:val="18"/>
                <w:szCs w:val="18"/>
                <w:u w:val="none"/>
              </w:rPr>
            </w:pPr>
          </w:p>
        </w:tc>
        <w:tc>
          <w:tcPr>
            <w:tcW w:w="169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18599E">
            <w:pPr>
              <w:snapToGrid w:val="0"/>
              <w:ind w:left="0" w:leftChars="0" w:right="0" w:rightChars="0" w:firstLine="0" w:firstLineChars="0"/>
              <w:jc w:val="left"/>
              <w:rPr>
                <w:rFonts w:hint="eastAsia" w:ascii="微软雅黑" w:hAnsi="微软雅黑" w:eastAsia="微软雅黑" w:cs="微软雅黑"/>
                <w:b w:val="0"/>
                <w:i w:val="0"/>
                <w:iCs w:val="0"/>
                <w:color w:val="000000"/>
                <w:sz w:val="18"/>
                <w:szCs w:val="18"/>
                <w:u w:val="none"/>
              </w:rPr>
            </w:pPr>
          </w:p>
        </w:tc>
        <w:tc>
          <w:tcPr>
            <w:tcW w:w="17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B267B">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东院区中转仓办公家具、电脑、PDA、扫描枪等验货工具</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EBEE7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1</w:t>
            </w:r>
          </w:p>
        </w:tc>
        <w:tc>
          <w:tcPr>
            <w:tcW w:w="2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A85D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i w:val="0"/>
                <w:iCs w:val="0"/>
                <w:color w:val="000000"/>
                <w:sz w:val="18"/>
                <w:szCs w:val="18"/>
                <w:u w:val="none"/>
              </w:rPr>
            </w:pPr>
            <w:r>
              <w:rPr>
                <w:rFonts w:hint="eastAsia" w:ascii="微软雅黑" w:hAnsi="微软雅黑" w:eastAsia="微软雅黑" w:cs="微软雅黑"/>
                <w:b w:val="0"/>
                <w:i w:val="0"/>
                <w:iCs w:val="0"/>
                <w:color w:val="000000"/>
                <w:kern w:val="0"/>
                <w:sz w:val="18"/>
                <w:szCs w:val="18"/>
                <w:u w:val="none"/>
                <w:lang w:val="en-US" w:eastAsia="zh-CN" w:bidi="ar"/>
              </w:rPr>
              <w:t>批</w:t>
            </w:r>
          </w:p>
        </w:tc>
      </w:tr>
    </w:tbl>
    <w:p w14:paraId="22786E1E">
      <w:pPr>
        <w:pStyle w:val="11"/>
        <w:rPr>
          <w:rFonts w:hint="default" w:cs="Times New Roman"/>
          <w:sz w:val="24"/>
          <w:szCs w:val="24"/>
          <w:lang w:val="en-US" w:eastAsia="zh-CN"/>
        </w:rPr>
      </w:pPr>
      <w:r>
        <w:rPr>
          <w:rFonts w:hint="eastAsia" w:cs="Times New Roman"/>
          <w:sz w:val="24"/>
          <w:szCs w:val="24"/>
          <w:lang w:val="en-US" w:eastAsia="zh-CN"/>
        </w:rPr>
        <w:t>基建要求：</w:t>
      </w:r>
    </w:p>
    <w:p w14:paraId="2B0D647C">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需</w:t>
      </w:r>
      <w:r>
        <w:rPr>
          <w:rFonts w:hint="eastAsia" w:ascii="宋体" w:hAnsi="宋体" w:eastAsia="宋体" w:cs="宋体"/>
          <w:sz w:val="24"/>
          <w:szCs w:val="24"/>
          <w:lang w:eastAsia="zh-CN"/>
        </w:rPr>
        <w:t>根据医院要求建设院外智能化中心库、中转仓，中心库应通过消防验收，符合医疗器械存储和管理要求，需符合《医疗器械经营质量管理规范》相关管理要求；</w:t>
      </w:r>
    </w:p>
    <w:p w14:paraId="7E5B1CDE">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）库房内外环境整洁无污染源，内墙光洁、地面平整、房屋结构严密，具备防止室外作业受异常天气影响的措施，具有可靠安全防护措施</w:t>
      </w:r>
      <w:r>
        <w:rPr>
          <w:rFonts w:hint="eastAsia" w:ascii="宋体" w:hAnsi="宋体" w:cs="宋体"/>
          <w:sz w:val="24"/>
          <w:szCs w:val="24"/>
          <w:lang w:eastAsia="zh-CN"/>
        </w:rPr>
        <w:t>，实现</w:t>
      </w:r>
      <w:r>
        <w:rPr>
          <w:rFonts w:hint="eastAsia" w:ascii="宋体" w:hAnsi="宋体" w:eastAsia="宋体" w:cs="宋体"/>
          <w:sz w:val="24"/>
          <w:szCs w:val="24"/>
          <w:lang w:eastAsia="zh-CN"/>
        </w:rPr>
        <w:t>无关人员进入可控管理；</w:t>
      </w:r>
    </w:p>
    <w:p w14:paraId="65A5F80A">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）配备与经营范围和规模相适应的设施设备，包括货架、托盘等实现医疗器械与地面有效隔离的设备，以及避光、通风、防潮、防虫、防鼠、符合安全用电要求的照明设备等；</w:t>
      </w:r>
    </w:p>
    <w:p w14:paraId="74C8DA12">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）按质量状态实行分区管理，设置待验区、合格品区、不合格品区、发货区、退货区，采用色标管理明确区分，同时贮存作业区、辅助作业区应与办公区和生活区分开一定距离或有隔离措施。</w:t>
      </w:r>
    </w:p>
    <w:p w14:paraId="76BB7413">
      <w:pPr>
        <w:pStyle w:val="11"/>
        <w:keepNext w:val="0"/>
        <w:keepLines w:val="0"/>
        <w:pageBreakBefore w:val="0"/>
        <w:widowControl w:val="0"/>
        <w:kinsoku/>
        <w:wordWrap/>
        <w:overflowPunct/>
        <w:topLinePunct w:val="0"/>
        <w:autoSpaceDE/>
        <w:autoSpaceDN/>
        <w:bidi w:val="0"/>
        <w:adjustRightInd w:val="0"/>
        <w:snapToGrid/>
        <w:textAlignment w:val="auto"/>
        <w:rPr>
          <w:rFonts w:hint="default"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）智能屋需要</w:t>
      </w:r>
      <w:r>
        <w:rPr>
          <w:rFonts w:hint="eastAsia" w:ascii="宋体" w:hAnsi="宋体" w:cs="宋体"/>
          <w:sz w:val="24"/>
          <w:szCs w:val="24"/>
          <w:lang w:val="en-US" w:eastAsia="zh-CN"/>
        </w:rPr>
        <w:t>对接SPD系统，同时</w:t>
      </w:r>
      <w:r>
        <w:rPr>
          <w:rFonts w:hint="eastAsia" w:ascii="宋体" w:hAnsi="宋体" w:eastAsia="宋体" w:cs="宋体"/>
          <w:sz w:val="24"/>
          <w:szCs w:val="24"/>
          <w:lang w:eastAsia="zh-CN"/>
        </w:rPr>
        <w:t>搭配智能货架、门禁管理等，</w:t>
      </w:r>
      <w:r>
        <w:rPr>
          <w:rFonts w:hint="eastAsia" w:ascii="宋体" w:hAnsi="宋体" w:eastAsia="宋体" w:cs="宋体"/>
          <w:kern w:val="0"/>
          <w:sz w:val="22"/>
          <w:szCs w:val="22"/>
          <w:highlight w:val="none"/>
          <w:lang w:bidi="zh-CN"/>
        </w:rPr>
        <w:t>支持人脸识别等多种鉴权</w:t>
      </w:r>
      <w:r>
        <w:rPr>
          <w:rFonts w:hint="eastAsia" w:ascii="宋体" w:hAnsi="宋体" w:eastAsia="宋体" w:cs="宋体"/>
          <w:sz w:val="22"/>
          <w:szCs w:val="22"/>
          <w:highlight w:val="none"/>
        </w:rPr>
        <w:t>认证</w:t>
      </w:r>
      <w:r>
        <w:rPr>
          <w:rFonts w:hint="eastAsia" w:ascii="宋体" w:hAnsi="宋体" w:eastAsia="宋体" w:cs="宋体"/>
          <w:kern w:val="0"/>
          <w:sz w:val="22"/>
          <w:szCs w:val="22"/>
          <w:highlight w:val="none"/>
          <w:lang w:bidi="zh-CN"/>
        </w:rPr>
        <w:t>通过后</w:t>
      </w:r>
      <w:r>
        <w:rPr>
          <w:rFonts w:hint="eastAsia" w:ascii="宋体" w:hAnsi="宋体" w:eastAsia="宋体" w:cs="宋体"/>
          <w:sz w:val="22"/>
          <w:szCs w:val="22"/>
          <w:highlight w:val="none"/>
        </w:rPr>
        <w:t>，耗材屋电控门才能开启</w:t>
      </w:r>
      <w:r>
        <w:rPr>
          <w:rFonts w:hint="eastAsia" w:ascii="宋体" w:hAnsi="宋体" w:cs="宋体"/>
          <w:sz w:val="22"/>
          <w:szCs w:val="22"/>
          <w:highlight w:val="none"/>
          <w:lang w:eastAsia="zh-CN"/>
        </w:rPr>
        <w:t>，进入</w:t>
      </w:r>
      <w:r>
        <w:rPr>
          <w:rFonts w:hint="eastAsia" w:ascii="宋体" w:hAnsi="宋体" w:eastAsia="宋体" w:cs="宋体"/>
          <w:sz w:val="22"/>
          <w:szCs w:val="22"/>
          <w:highlight w:val="none"/>
        </w:rPr>
        <w:t>耗材屋进行领用、补货、归还、盘点等作业</w:t>
      </w:r>
      <w:r>
        <w:rPr>
          <w:rFonts w:hint="eastAsia" w:ascii="宋体" w:hAnsi="宋体" w:eastAsia="宋体" w:cs="宋体"/>
          <w:sz w:val="24"/>
          <w:szCs w:val="24"/>
          <w:lang w:eastAsia="zh-CN"/>
        </w:rPr>
        <w:t>。</w:t>
      </w:r>
      <w:r>
        <w:rPr>
          <w:rFonts w:hint="eastAsia" w:ascii="宋体" w:hAnsi="宋体" w:eastAsia="宋体" w:cs="宋体"/>
          <w:kern w:val="0"/>
          <w:sz w:val="22"/>
          <w:szCs w:val="22"/>
          <w:highlight w:val="none"/>
          <w:lang w:bidi="ar"/>
        </w:rPr>
        <w:t>支持配置高清视频监控装置，监控角度、存储时间可按需设置，可24小时不间断动态监控，系统能够直接按照指定时间、异常记录的事件进行定点视频回放</w:t>
      </w:r>
      <w:r>
        <w:rPr>
          <w:rFonts w:hint="eastAsia" w:ascii="宋体" w:hAnsi="宋体" w:cs="宋体"/>
          <w:kern w:val="0"/>
          <w:sz w:val="22"/>
          <w:szCs w:val="22"/>
          <w:highlight w:val="none"/>
          <w:lang w:eastAsia="zh-CN" w:bidi="ar"/>
        </w:rPr>
        <w:t>。</w:t>
      </w:r>
      <w:r>
        <w:rPr>
          <w:rFonts w:hint="eastAsia" w:ascii="宋体" w:hAnsi="宋体" w:cs="宋体"/>
          <w:kern w:val="0"/>
          <w:sz w:val="22"/>
          <w:szCs w:val="22"/>
          <w:highlight w:val="none"/>
          <w:lang w:val="en-US" w:eastAsia="zh-CN" w:bidi="ar"/>
        </w:rPr>
        <w:t>同时依据科室需求，按需配置智能货架及自助结算台，支持医院对高低值耗材的管控。</w:t>
      </w:r>
    </w:p>
    <w:p w14:paraId="00237C3E">
      <w:pPr>
        <w:pStyle w:val="11"/>
        <w:keepNext w:val="0"/>
        <w:keepLines w:val="0"/>
        <w:pageBreakBefore w:val="0"/>
        <w:widowControl w:val="0"/>
        <w:kinsoku/>
        <w:wordWrap/>
        <w:overflowPunct/>
        <w:topLinePunct w:val="0"/>
        <w:autoSpaceDE/>
        <w:autoSpaceDN/>
        <w:bidi w:val="0"/>
        <w:adjustRightInd w:val="0"/>
        <w:snapToGrid/>
        <w:textAlignment w:val="auto"/>
        <w:rPr>
          <w:rFonts w:hint="default"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）智能耗材柜</w:t>
      </w:r>
      <w:r>
        <w:rPr>
          <w:rFonts w:hint="eastAsia" w:ascii="宋体" w:hAnsi="宋体" w:cs="宋体"/>
          <w:sz w:val="24"/>
          <w:szCs w:val="24"/>
          <w:lang w:val="en-US" w:eastAsia="zh-CN"/>
        </w:rPr>
        <w:t>需对接SPD管理系统，同时</w:t>
      </w:r>
      <w:r>
        <w:rPr>
          <w:rFonts w:hint="eastAsia" w:ascii="宋体" w:hAnsi="宋体" w:eastAsia="宋体" w:cs="宋体"/>
          <w:sz w:val="24"/>
          <w:szCs w:val="24"/>
          <w:lang w:eastAsia="zh-CN"/>
        </w:rPr>
        <w:t>内含耗材柜管理系统，支持查看耗材在柜种类、数量和库存信息，查</w:t>
      </w:r>
      <w:r>
        <w:rPr>
          <w:rFonts w:hint="eastAsia" w:ascii="宋体" w:hAnsi="宋体" w:cs="宋体"/>
          <w:sz w:val="24"/>
          <w:szCs w:val="24"/>
          <w:lang w:eastAsia="zh-CN"/>
        </w:rPr>
        <w:t>看有</w:t>
      </w:r>
      <w:r>
        <w:rPr>
          <w:rFonts w:hint="eastAsia" w:ascii="宋体" w:hAnsi="宋体" w:eastAsia="宋体" w:cs="宋体"/>
          <w:sz w:val="24"/>
          <w:szCs w:val="24"/>
          <w:lang w:eastAsia="zh-CN"/>
        </w:rPr>
        <w:t>效期异常、库存异常的耗材警示，增补/归还至本柜的异常状态耗材，提示位置异常</w:t>
      </w:r>
      <w:r>
        <w:rPr>
          <w:rFonts w:hint="eastAsia" w:ascii="宋体" w:hAnsi="宋体" w:eastAsia="宋体" w:cs="宋体"/>
          <w:sz w:val="24"/>
          <w:szCs w:val="24"/>
          <w:lang w:val="en-US" w:eastAsia="zh-CN"/>
        </w:rPr>
        <w:t>。同时支持24小时异人异柜归还的要求，</w:t>
      </w:r>
      <w:r>
        <w:rPr>
          <w:rFonts w:hint="eastAsia" w:ascii="宋体" w:hAnsi="宋体" w:cs="宋体"/>
          <w:sz w:val="24"/>
          <w:szCs w:val="24"/>
          <w:lang w:val="en-US" w:eastAsia="zh-CN"/>
        </w:rPr>
        <w:t>提供</w:t>
      </w:r>
      <w:r>
        <w:rPr>
          <w:rFonts w:hint="eastAsia" w:ascii="宋体" w:hAnsi="宋体" w:eastAsia="宋体" w:cs="宋体"/>
          <w:sz w:val="24"/>
          <w:szCs w:val="24"/>
          <w:lang w:val="en-US" w:eastAsia="zh-CN"/>
        </w:rPr>
        <w:t>按科室和按人的领用归还记录，</w:t>
      </w:r>
      <w:r>
        <w:rPr>
          <w:rFonts w:hint="eastAsia" w:ascii="宋体" w:hAnsi="宋体" w:cs="宋体"/>
          <w:sz w:val="24"/>
          <w:szCs w:val="24"/>
          <w:lang w:val="en-US" w:eastAsia="zh-CN"/>
        </w:rPr>
        <w:t>以及</w:t>
      </w:r>
      <w:r>
        <w:rPr>
          <w:rFonts w:hint="eastAsia" w:ascii="宋体" w:hAnsi="宋体" w:eastAsia="宋体" w:cs="宋体"/>
          <w:sz w:val="24"/>
          <w:szCs w:val="24"/>
          <w:lang w:val="en-US" w:eastAsia="zh-CN"/>
        </w:rPr>
        <w:t>按科室和按人的领用未归还提醒</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近/过效期提醒功能，以及与手术单的绑定功能等。</w:t>
      </w:r>
    </w:p>
    <w:p w14:paraId="1267965D">
      <w:pPr>
        <w:pStyle w:val="3"/>
        <w:numPr>
          <w:ilvl w:val="0"/>
          <w:numId w:val="2"/>
        </w:numPr>
        <w:ind w:left="0" w:leftChars="0" w:firstLine="0" w:firstLineChars="0"/>
        <w:rPr>
          <w:b w:val="0"/>
        </w:rPr>
      </w:pPr>
      <w:r>
        <w:t>软件投入</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48"/>
        <w:gridCol w:w="3944"/>
        <w:gridCol w:w="1265"/>
        <w:gridCol w:w="779"/>
        <w:gridCol w:w="786"/>
      </w:tblGrid>
      <w:tr w14:paraId="709AB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E7E6E6"/>
            <w:vAlign w:val="center"/>
          </w:tcPr>
          <w:p w14:paraId="2D6E14CE">
            <w:pPr>
              <w:keepNext w:val="0"/>
              <w:keepLines w:val="0"/>
              <w:widowControl/>
              <w:suppressLineNumbers w:val="0"/>
              <w:snapToGrid w:val="0"/>
              <w:jc w:val="center"/>
              <w:textAlignment w:val="center"/>
              <w:rPr>
                <w:rFonts w:ascii="微软雅黑" w:hAnsi="微软雅黑" w:eastAsia="微软雅黑" w:cs="微软雅黑"/>
                <w:i w:val="0"/>
                <w:iCs w:val="0"/>
                <w:color w:val="FF0000"/>
                <w:sz w:val="28"/>
                <w:szCs w:val="28"/>
                <w:u w:val="none"/>
              </w:rPr>
            </w:pPr>
            <w:r>
              <w:rPr>
                <w:rFonts w:hint="eastAsia" w:ascii="微软雅黑" w:hAnsi="微软雅黑" w:eastAsia="微软雅黑" w:cs="微软雅黑"/>
                <w:i w:val="0"/>
                <w:iCs w:val="0"/>
                <w:color w:val="000000" w:themeColor="text1"/>
                <w:kern w:val="0"/>
                <w:sz w:val="21"/>
                <w:szCs w:val="21"/>
                <w:u w:val="none"/>
                <w:lang w:val="en-US" w:eastAsia="zh-CN" w:bidi="ar"/>
                <w14:textFill>
                  <w14:solidFill>
                    <w14:schemeClr w14:val="tx1"/>
                  </w14:solidFill>
                </w14:textFill>
              </w:rPr>
              <w:t>医用耗材精细化管理一次性软件建设内容</w:t>
            </w:r>
          </w:p>
        </w:tc>
      </w:tr>
      <w:tr w14:paraId="2E34D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26" w:type="pct"/>
            <w:tcBorders>
              <w:top w:val="nil"/>
              <w:left w:val="single" w:color="000000" w:sz="4" w:space="0"/>
              <w:bottom w:val="single" w:color="000000" w:sz="4" w:space="0"/>
              <w:right w:val="single" w:color="000000" w:sz="4" w:space="0"/>
            </w:tcBorders>
            <w:shd w:val="clear" w:color="auto" w:fill="auto"/>
            <w:vAlign w:val="center"/>
          </w:tcPr>
          <w:p w14:paraId="79B07E43">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项目投入</w:t>
            </w:r>
          </w:p>
        </w:tc>
        <w:tc>
          <w:tcPr>
            <w:tcW w:w="2314" w:type="pct"/>
            <w:tcBorders>
              <w:top w:val="nil"/>
              <w:left w:val="single" w:color="000000" w:sz="4" w:space="0"/>
              <w:bottom w:val="single" w:color="000000" w:sz="4" w:space="0"/>
              <w:right w:val="single" w:color="000000" w:sz="4" w:space="0"/>
            </w:tcBorders>
            <w:shd w:val="clear" w:color="auto" w:fill="auto"/>
            <w:vAlign w:val="center"/>
          </w:tcPr>
          <w:p w14:paraId="50D085BE">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名称</w:t>
            </w:r>
          </w:p>
        </w:tc>
        <w:tc>
          <w:tcPr>
            <w:tcW w:w="742" w:type="pct"/>
            <w:tcBorders>
              <w:top w:val="nil"/>
              <w:left w:val="single" w:color="000000" w:sz="4" w:space="0"/>
              <w:bottom w:val="single" w:color="000000" w:sz="4" w:space="0"/>
              <w:right w:val="single" w:color="000000" w:sz="4" w:space="0"/>
            </w:tcBorders>
            <w:shd w:val="clear" w:color="auto" w:fill="auto"/>
            <w:vAlign w:val="center"/>
          </w:tcPr>
          <w:p w14:paraId="60C0103B">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产品类型</w:t>
            </w:r>
          </w:p>
        </w:tc>
        <w:tc>
          <w:tcPr>
            <w:tcW w:w="457" w:type="pct"/>
            <w:tcBorders>
              <w:top w:val="nil"/>
              <w:left w:val="single" w:color="000000" w:sz="4" w:space="0"/>
              <w:bottom w:val="single" w:color="000000" w:sz="4" w:space="0"/>
              <w:right w:val="single" w:color="000000" w:sz="4" w:space="0"/>
            </w:tcBorders>
            <w:shd w:val="clear" w:color="auto" w:fill="auto"/>
            <w:vAlign w:val="center"/>
          </w:tcPr>
          <w:p w14:paraId="3B61DAD3">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数量</w:t>
            </w:r>
          </w:p>
        </w:tc>
        <w:tc>
          <w:tcPr>
            <w:tcW w:w="459" w:type="pct"/>
            <w:tcBorders>
              <w:top w:val="nil"/>
              <w:left w:val="single" w:color="000000" w:sz="4" w:space="0"/>
              <w:bottom w:val="single" w:color="000000" w:sz="4" w:space="0"/>
              <w:right w:val="single" w:color="000000" w:sz="4" w:space="0"/>
            </w:tcBorders>
            <w:shd w:val="clear" w:color="auto" w:fill="auto"/>
            <w:vAlign w:val="center"/>
          </w:tcPr>
          <w:p w14:paraId="506F2887">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单位</w:t>
            </w:r>
          </w:p>
        </w:tc>
      </w:tr>
      <w:tr w14:paraId="33192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7620A">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软件系统搭建</w:t>
            </w:r>
          </w:p>
        </w:tc>
        <w:tc>
          <w:tcPr>
            <w:tcW w:w="2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FFE50">
            <w:pPr>
              <w:keepNext w:val="0"/>
              <w:keepLines w:val="0"/>
              <w:widowControl/>
              <w:suppressLineNumbers w:val="0"/>
              <w:snapToGrid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SPD系统软件</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F6102">
            <w:pPr>
              <w:snapToGrid w:val="0"/>
              <w:jc w:val="center"/>
              <w:rPr>
                <w:rFonts w:hint="eastAsia" w:ascii="微软雅黑" w:hAnsi="微软雅黑" w:eastAsia="微软雅黑" w:cs="微软雅黑"/>
                <w:i w:val="0"/>
                <w:iCs w:val="0"/>
                <w:color w:val="000000"/>
                <w:sz w:val="18"/>
                <w:szCs w:val="18"/>
                <w:u w:val="none"/>
              </w:rPr>
            </w:pP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D8485">
            <w:pPr>
              <w:snapToGrid w:val="0"/>
              <w:jc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1</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4715B">
            <w:pPr>
              <w:snapToGrid w:val="0"/>
              <w:jc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r>
      <w:tr w14:paraId="723CB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2EF95">
            <w:pPr>
              <w:snapToGrid w:val="0"/>
              <w:jc w:val="center"/>
              <w:rPr>
                <w:rFonts w:hint="eastAsia" w:ascii="微软雅黑" w:hAnsi="微软雅黑" w:eastAsia="微软雅黑" w:cs="微软雅黑"/>
                <w:b/>
                <w:bCs/>
                <w:i w:val="0"/>
                <w:iCs w:val="0"/>
                <w:color w:val="000000"/>
                <w:sz w:val="18"/>
                <w:szCs w:val="18"/>
                <w:u w:val="none"/>
              </w:rPr>
            </w:pPr>
          </w:p>
        </w:tc>
        <w:tc>
          <w:tcPr>
            <w:tcW w:w="2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8592A">
            <w:pPr>
              <w:keepNext w:val="0"/>
              <w:keepLines w:val="0"/>
              <w:widowControl/>
              <w:suppressLineNumbers w:val="0"/>
              <w:snapToGrid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内外网服务器搭建</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2DB38">
            <w:pPr>
              <w:snapToGrid w:val="0"/>
              <w:jc w:val="center"/>
              <w:rPr>
                <w:rFonts w:hint="eastAsia" w:ascii="微软雅黑" w:hAnsi="微软雅黑" w:eastAsia="微软雅黑" w:cs="微软雅黑"/>
                <w:i w:val="0"/>
                <w:iCs w:val="0"/>
                <w:color w:val="000000"/>
                <w:sz w:val="18"/>
                <w:szCs w:val="18"/>
                <w:u w:val="none"/>
              </w:rPr>
            </w:pP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981CC">
            <w:pPr>
              <w:keepNext w:val="0"/>
              <w:keepLines w:val="0"/>
              <w:widowControl/>
              <w:suppressLineNumbers w:val="0"/>
              <w:snapToGrid w:val="0"/>
              <w:jc w:val="center"/>
              <w:textAlignment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1</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1637B">
            <w:pPr>
              <w:keepNext w:val="0"/>
              <w:keepLines w:val="0"/>
              <w:widowControl/>
              <w:suppressLineNumbers w:val="0"/>
              <w:snapToGrid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r>
      <w:tr w14:paraId="70353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B3453">
            <w:pPr>
              <w:snapToGrid w:val="0"/>
              <w:jc w:val="center"/>
              <w:rPr>
                <w:rFonts w:hint="eastAsia" w:ascii="微软雅黑" w:hAnsi="微软雅黑" w:eastAsia="微软雅黑" w:cs="微软雅黑"/>
                <w:b/>
                <w:bCs/>
                <w:i w:val="0"/>
                <w:iCs w:val="0"/>
                <w:color w:val="000000"/>
                <w:sz w:val="18"/>
                <w:szCs w:val="18"/>
                <w:u w:val="none"/>
              </w:rPr>
            </w:pPr>
          </w:p>
        </w:tc>
        <w:tc>
          <w:tcPr>
            <w:tcW w:w="2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2134F">
            <w:pPr>
              <w:keepNext w:val="0"/>
              <w:keepLines w:val="0"/>
              <w:widowControl/>
              <w:suppressLineNumbers w:val="0"/>
              <w:snapToGrid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lang w:val="en-US" w:eastAsia="zh-CN" w:bidi="ar"/>
              </w:rPr>
              <w:t>医用耗材及试剂数智分析系统软件</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C2524">
            <w:pPr>
              <w:snapToGrid w:val="0"/>
              <w:jc w:val="center"/>
              <w:rPr>
                <w:rFonts w:hint="eastAsia" w:ascii="微软雅黑" w:hAnsi="微软雅黑" w:eastAsia="微软雅黑" w:cs="微软雅黑"/>
                <w:i w:val="0"/>
                <w:iCs w:val="0"/>
                <w:color w:val="000000"/>
                <w:sz w:val="18"/>
                <w:szCs w:val="18"/>
                <w:u w:val="none"/>
              </w:rPr>
            </w:pP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94341">
            <w:pPr>
              <w:snapToGrid w:val="0"/>
              <w:jc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1</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E467B">
            <w:pPr>
              <w:snapToGrid w:val="0"/>
              <w:jc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r>
    </w:tbl>
    <w:p w14:paraId="3CC4FF51">
      <w:pPr>
        <w:pStyle w:val="11"/>
        <w:rPr>
          <w:rFonts w:ascii="Times New Roman" w:hAnsi="Times New Roman" w:eastAsia="宋体" w:cs="Times New Roman"/>
          <w:sz w:val="24"/>
          <w:szCs w:val="24"/>
        </w:rPr>
      </w:pPr>
      <w:r>
        <w:rPr>
          <w:rFonts w:ascii="Times New Roman" w:hAnsi="Times New Roman" w:eastAsia="宋体" w:cs="Times New Roman"/>
          <w:sz w:val="24"/>
          <w:szCs w:val="24"/>
        </w:rPr>
        <w:t>系统</w:t>
      </w:r>
      <w:r>
        <w:rPr>
          <w:rFonts w:hint="eastAsia" w:cs="Times New Roman"/>
          <w:sz w:val="24"/>
          <w:szCs w:val="24"/>
          <w:lang w:val="en-US" w:eastAsia="zh-CN"/>
        </w:rPr>
        <w:t>要求</w:t>
      </w:r>
      <w:r>
        <w:rPr>
          <w:rFonts w:ascii="Times New Roman" w:hAnsi="Times New Roman" w:eastAsia="宋体" w:cs="Times New Roman"/>
          <w:sz w:val="24"/>
          <w:szCs w:val="24"/>
        </w:rPr>
        <w:t>：</w:t>
      </w:r>
    </w:p>
    <w:p w14:paraId="5622D1C9">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需要搭建一套满足医院实际管理需求的医用耗材（包括高低值耗材、检验试剂）智能化物流信息化管理平台，该平台能够与医院的手麻系统、HIS、HRP、LIS、移动护理系统对接，与医保平台、各省市阳光平台、医疗器械唯一标识监管信息平台等数据平台系统实现数据互联互通，并按照医院要求进行定制化开发，负责平台网络运行设施的建设。</w:t>
      </w:r>
    </w:p>
    <w:p w14:paraId="0BE1DC9D">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系统需实现耗材使用分析，支持医院物流数据分析、耗材使用合理性分析，包含库存周转率分析、库存效期分析、耗占比分析、消耗异常分析、高值耗材术种/医师/科室多角度分析，以及各类耗材收支差匹配分析、高值耗材医疗组分析；须支持导入或获取覆盖省内外至少5家同级别三甲医院的行业基准数据，提供同一病种或同一手术下我院与外部机构的耗材品种、单价、人均耗材费用、耗占比等对比图表。</w:t>
      </w:r>
    </w:p>
    <w:p w14:paraId="1FCFCFF3">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系统可根据我院要求定制化开发，</w:t>
      </w:r>
      <w:r>
        <w:rPr>
          <w:rFonts w:hint="eastAsia" w:ascii="宋体" w:hAnsi="宋体" w:eastAsia="宋体" w:cs="宋体"/>
          <w:sz w:val="24"/>
          <w:szCs w:val="24"/>
          <w:lang w:eastAsia="zh-CN"/>
        </w:rPr>
        <w:t>系统须提供标准接口与医院数据湖、HRP管理系统、手麻系统等</w:t>
      </w:r>
      <w:r>
        <w:rPr>
          <w:rFonts w:hint="eastAsia" w:ascii="宋体" w:hAnsi="宋体" w:cs="宋体"/>
          <w:sz w:val="24"/>
          <w:szCs w:val="24"/>
          <w:lang w:val="en-US" w:eastAsia="zh-CN"/>
        </w:rPr>
        <w:t>免费</w:t>
      </w:r>
      <w:r>
        <w:rPr>
          <w:rFonts w:hint="eastAsia" w:ascii="宋体" w:hAnsi="宋体" w:eastAsia="宋体" w:cs="宋体"/>
          <w:sz w:val="24"/>
          <w:szCs w:val="24"/>
          <w:lang w:eastAsia="zh-CN"/>
        </w:rPr>
        <w:t>对接，支持财务科一键发起对账，可将SPD系统入库、出库、消耗、结存数据与上述任一系统同期数据进行逐笔或汇总核对，自动输出对账差异明细表。</w:t>
      </w:r>
    </w:p>
    <w:p w14:paraId="424C0293">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全节点轨迹记录。系统须完整记录每件（或每批次）耗材从供应商送货、院外入库、院内科室库出库、运输配送、上架智能柜、临床取用、患者消耗、收费确认，直至退库、报废或盘亏的每一个业务节点。每个节点须固化操作人、时间、数量、位置、关联单据号及备注。植入类、介入类等高风险医疗器械须建立真实、完整的追溯管理体系。</w:t>
      </w:r>
    </w:p>
    <w:p w14:paraId="46206068">
      <w:pPr>
        <w:pStyle w:val="11"/>
        <w:keepNext w:val="0"/>
        <w:keepLines w:val="0"/>
        <w:pageBreakBefore w:val="0"/>
        <w:widowControl w:val="0"/>
        <w:kinsoku/>
        <w:wordWrap/>
        <w:overflowPunct/>
        <w:topLinePunct w:val="0"/>
        <w:autoSpaceDE/>
        <w:autoSpaceDN/>
        <w:bidi w:val="0"/>
        <w:adjustRightInd w:val="0"/>
        <w:snapToGrid/>
        <w:textAlignment w:val="auto"/>
        <w:rPr>
          <w:rFonts w:hint="default"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SPD系统须包含</w:t>
      </w:r>
      <w:r>
        <w:rPr>
          <w:rFonts w:hint="eastAsia" w:ascii="宋体" w:hAnsi="宋体" w:cs="宋体"/>
          <w:sz w:val="24"/>
          <w:szCs w:val="24"/>
          <w:lang w:val="en-US" w:eastAsia="zh-CN"/>
        </w:rPr>
        <w:t>但不限于</w:t>
      </w:r>
      <w:r>
        <w:rPr>
          <w:rFonts w:hint="eastAsia" w:ascii="宋体" w:hAnsi="宋体" w:eastAsia="宋体" w:cs="宋体"/>
          <w:sz w:val="24"/>
          <w:szCs w:val="24"/>
          <w:lang w:val="en-US" w:eastAsia="zh-CN"/>
        </w:rPr>
        <w:t>以下内容：1</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供应链协同管理模块；2</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院内基础物流管理模块；</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低值医用耗材“单元包”管理模块；4</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高值医用耗材管理模块；5</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手术室精益管理模块；6</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骨科耗材管理模块；7</w:t>
      </w:r>
      <w:r>
        <w:rPr>
          <w:rFonts w:hint="eastAsia" w:ascii="宋体" w:hAnsi="宋体" w:cs="宋体"/>
          <w:sz w:val="24"/>
          <w:szCs w:val="24"/>
          <w:lang w:val="en-US" w:eastAsia="zh-CN"/>
        </w:rPr>
        <w:t>.检</w:t>
      </w:r>
      <w:r>
        <w:rPr>
          <w:rFonts w:hint="eastAsia" w:ascii="宋体" w:hAnsi="宋体" w:eastAsia="宋体" w:cs="宋体"/>
          <w:sz w:val="24"/>
          <w:szCs w:val="24"/>
          <w:lang w:val="en-US" w:eastAsia="zh-CN"/>
        </w:rPr>
        <w:t>验试剂管理模块；8</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口腔医用耗材管理模块</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9</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结算管理模块；10</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主数据管理模块；11</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资质管理模块；12</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SPD移动应用管理模块；13</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医疗器械全流程追溯管理模块；14</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BI商业智能及报表管理模块；15</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专项管理模块；16</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驻点服务评价模块；17</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供应商评价模块；18</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智能柜管理模块；19</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耗材中心库及各消耗点智能补货功能；20</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数智化医用耗材试剂分析系统</w:t>
      </w:r>
      <w:r>
        <w:rPr>
          <w:rFonts w:hint="eastAsia" w:ascii="宋体" w:hAnsi="宋体" w:cs="宋体"/>
          <w:sz w:val="24"/>
          <w:szCs w:val="24"/>
          <w:lang w:val="en-US" w:eastAsia="zh-CN"/>
        </w:rPr>
        <w:t>。</w:t>
      </w:r>
    </w:p>
    <w:p w14:paraId="779C9D45">
      <w:pPr>
        <w:pStyle w:val="3"/>
        <w:numPr>
          <w:ilvl w:val="0"/>
          <w:numId w:val="2"/>
        </w:numPr>
        <w:ind w:left="0" w:leftChars="0" w:firstLine="0" w:firstLineChars="0"/>
        <w:rPr>
          <w:b w:val="0"/>
        </w:rPr>
      </w:pPr>
      <w:r>
        <w:t>运营投入</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34"/>
        <w:gridCol w:w="2592"/>
        <w:gridCol w:w="2138"/>
        <w:gridCol w:w="639"/>
        <w:gridCol w:w="519"/>
      </w:tblGrid>
      <w:tr w14:paraId="1AD8E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1EC0B0D7">
            <w:pPr>
              <w:keepNext w:val="0"/>
              <w:keepLines w:val="0"/>
              <w:widowControl/>
              <w:suppressLineNumbers w:val="0"/>
              <w:snapToGrid w:val="0"/>
              <w:ind w:left="0" w:leftChars="0" w:right="0" w:rightChars="0" w:firstLine="0" w:firstLineChars="0"/>
              <w:jc w:val="center"/>
              <w:textAlignment w:val="center"/>
              <w:rPr>
                <w:rFonts w:ascii="微软雅黑" w:hAnsi="微软雅黑" w:eastAsia="微软雅黑" w:cs="微软雅黑"/>
                <w:i w:val="0"/>
                <w:iCs w:val="0"/>
                <w:color w:val="FF0000"/>
                <w:sz w:val="28"/>
                <w:szCs w:val="28"/>
                <w:u w:val="none"/>
              </w:rPr>
            </w:pPr>
            <w:r>
              <w:rPr>
                <w:rFonts w:hint="eastAsia" w:ascii="微软雅黑" w:hAnsi="微软雅黑" w:eastAsia="微软雅黑" w:cs="微软雅黑"/>
                <w:i w:val="0"/>
                <w:iCs w:val="0"/>
                <w:color w:val="000000" w:themeColor="text1"/>
                <w:kern w:val="0"/>
                <w:sz w:val="21"/>
                <w:szCs w:val="21"/>
                <w:u w:val="none"/>
                <w:lang w:val="en-US" w:eastAsia="zh-CN" w:bidi="ar"/>
                <w14:textFill>
                  <w14:solidFill>
                    <w14:schemeClr w14:val="tx1"/>
                  </w14:solidFill>
                </w14:textFill>
              </w:rPr>
              <w:t>医用耗材精细化管理每年运营服务内容</w:t>
            </w:r>
          </w:p>
        </w:tc>
      </w:tr>
      <w:tr w14:paraId="10A0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613" w:type="pct"/>
            <w:tcBorders>
              <w:top w:val="nil"/>
              <w:left w:val="single" w:color="000000" w:sz="4" w:space="0"/>
              <w:bottom w:val="single" w:color="000000" w:sz="4" w:space="0"/>
              <w:right w:val="single" w:color="000000" w:sz="4" w:space="0"/>
            </w:tcBorders>
            <w:shd w:val="clear" w:color="auto" w:fill="auto"/>
            <w:vAlign w:val="center"/>
          </w:tcPr>
          <w:p w14:paraId="6330BE2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项目投入</w:t>
            </w:r>
          </w:p>
        </w:tc>
        <w:tc>
          <w:tcPr>
            <w:tcW w:w="1588" w:type="pct"/>
            <w:tcBorders>
              <w:top w:val="nil"/>
              <w:left w:val="single" w:color="000000" w:sz="4" w:space="0"/>
              <w:bottom w:val="single" w:color="000000" w:sz="4" w:space="0"/>
              <w:right w:val="single" w:color="000000" w:sz="4" w:space="0"/>
            </w:tcBorders>
            <w:shd w:val="clear" w:color="auto" w:fill="auto"/>
            <w:vAlign w:val="center"/>
          </w:tcPr>
          <w:p w14:paraId="67A1982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名称</w:t>
            </w:r>
          </w:p>
        </w:tc>
        <w:tc>
          <w:tcPr>
            <w:tcW w:w="985" w:type="pct"/>
            <w:tcBorders>
              <w:top w:val="nil"/>
              <w:left w:val="single" w:color="000000" w:sz="4" w:space="0"/>
              <w:bottom w:val="single" w:color="000000" w:sz="4" w:space="0"/>
              <w:right w:val="single" w:color="000000" w:sz="4" w:space="0"/>
            </w:tcBorders>
            <w:shd w:val="clear" w:color="auto" w:fill="auto"/>
            <w:vAlign w:val="center"/>
          </w:tcPr>
          <w:p w14:paraId="539C3D7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产品类型</w:t>
            </w:r>
          </w:p>
        </w:tc>
        <w:tc>
          <w:tcPr>
            <w:tcW w:w="387" w:type="pct"/>
            <w:tcBorders>
              <w:top w:val="nil"/>
              <w:left w:val="single" w:color="000000" w:sz="4" w:space="0"/>
              <w:bottom w:val="single" w:color="000000" w:sz="4" w:space="0"/>
              <w:right w:val="single" w:color="000000" w:sz="4" w:space="0"/>
            </w:tcBorders>
            <w:shd w:val="clear" w:color="auto" w:fill="auto"/>
            <w:vAlign w:val="center"/>
          </w:tcPr>
          <w:p w14:paraId="29C5B52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数量</w:t>
            </w:r>
          </w:p>
        </w:tc>
        <w:tc>
          <w:tcPr>
            <w:tcW w:w="425" w:type="pct"/>
            <w:tcBorders>
              <w:top w:val="nil"/>
              <w:left w:val="single" w:color="000000" w:sz="4" w:space="0"/>
              <w:bottom w:val="single" w:color="000000" w:sz="4" w:space="0"/>
              <w:right w:val="single" w:color="000000" w:sz="4" w:space="0"/>
            </w:tcBorders>
            <w:shd w:val="clear" w:color="auto" w:fill="auto"/>
            <w:vAlign w:val="center"/>
          </w:tcPr>
          <w:p w14:paraId="1F0541F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单位</w:t>
            </w:r>
          </w:p>
        </w:tc>
      </w:tr>
      <w:tr w14:paraId="6194C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3D16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租金</w:t>
            </w:r>
          </w:p>
        </w:tc>
        <w:tc>
          <w:tcPr>
            <w:tcW w:w="1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3FDFE">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院外仓租金</w:t>
            </w:r>
          </w:p>
        </w:tc>
        <w:tc>
          <w:tcPr>
            <w:tcW w:w="9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BB377">
            <w:pPr>
              <w:snapToGrid w:val="0"/>
              <w:ind w:left="0" w:leftChars="0" w:right="0" w:rightChars="0" w:firstLine="0" w:firstLineChars="0"/>
              <w:jc w:val="center"/>
              <w:rPr>
                <w:rFonts w:hint="default"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位置最好在两院区中间</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BCE8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1000</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234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平方米</w:t>
            </w:r>
          </w:p>
        </w:tc>
      </w:tr>
      <w:tr w14:paraId="1B6A5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1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0C44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软件运维</w:t>
            </w:r>
          </w:p>
        </w:tc>
        <w:tc>
          <w:tcPr>
            <w:tcW w:w="1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41E6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每年软件改造及日常运维费用</w:t>
            </w:r>
          </w:p>
        </w:tc>
        <w:tc>
          <w:tcPr>
            <w:tcW w:w="9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4AC9F">
            <w:pPr>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06FD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A01F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年</w:t>
            </w:r>
          </w:p>
        </w:tc>
      </w:tr>
      <w:tr w14:paraId="3D428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1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FDBCB">
            <w:pPr>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F8FBE">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数智分析系统</w:t>
            </w:r>
          </w:p>
        </w:tc>
        <w:tc>
          <w:tcPr>
            <w:tcW w:w="9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79B55">
            <w:pPr>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DAD6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500C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年</w:t>
            </w:r>
          </w:p>
        </w:tc>
      </w:tr>
      <w:tr w14:paraId="02F02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6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ABCDD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仓库日常支出</w:t>
            </w:r>
          </w:p>
        </w:tc>
        <w:tc>
          <w:tcPr>
            <w:tcW w:w="1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366C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办公费用（含设备耗材）</w:t>
            </w:r>
          </w:p>
        </w:tc>
        <w:tc>
          <w:tcPr>
            <w:tcW w:w="9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84D6">
            <w:pPr>
              <w:snapToGrid w:val="0"/>
              <w:ind w:left="0" w:leftChars="0" w:right="0" w:rightChars="0" w:firstLine="0" w:firstLineChars="0"/>
              <w:jc w:val="center"/>
              <w:rPr>
                <w:rFonts w:hint="default"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含RFID智能标签</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C595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472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年</w:t>
            </w:r>
          </w:p>
        </w:tc>
      </w:tr>
      <w:tr w14:paraId="24569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A23EC">
            <w:pPr>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1345">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水、电费用</w:t>
            </w:r>
          </w:p>
        </w:tc>
        <w:tc>
          <w:tcPr>
            <w:tcW w:w="9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63294">
            <w:pPr>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5171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8BEA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年</w:t>
            </w:r>
          </w:p>
        </w:tc>
      </w:tr>
      <w:tr w14:paraId="755E2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6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E18D2">
            <w:pPr>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FE42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网络费用</w:t>
            </w:r>
          </w:p>
        </w:tc>
        <w:tc>
          <w:tcPr>
            <w:tcW w:w="9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24CF">
            <w:pPr>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055C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1A811">
            <w:pPr>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年</w:t>
            </w:r>
          </w:p>
        </w:tc>
      </w:tr>
      <w:tr w14:paraId="5995A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0C9E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运输物流费用</w:t>
            </w:r>
          </w:p>
        </w:tc>
        <w:tc>
          <w:tcPr>
            <w:tcW w:w="1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A3C5">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车辆支出</w:t>
            </w:r>
          </w:p>
        </w:tc>
        <w:tc>
          <w:tcPr>
            <w:tcW w:w="9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BBC9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燃油、车辆保险、车辆日常保养检修</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310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594E5">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年</w:t>
            </w:r>
          </w:p>
        </w:tc>
      </w:tr>
      <w:tr w14:paraId="6F551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F82A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高值柜、智能屋等设施及相关软件运维费用</w:t>
            </w:r>
          </w:p>
        </w:tc>
        <w:tc>
          <w:tcPr>
            <w:tcW w:w="1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AFB1">
            <w:pPr>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EFF1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批量</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9A81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DF2E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年</w:t>
            </w:r>
          </w:p>
        </w:tc>
      </w:tr>
      <w:tr w14:paraId="50476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FD49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物流机器人</w:t>
            </w:r>
          </w:p>
        </w:tc>
        <w:tc>
          <w:tcPr>
            <w:tcW w:w="1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F7F0C">
            <w:pPr>
              <w:keepNext w:val="0"/>
              <w:keepLines w:val="0"/>
              <w:widowControl/>
              <w:suppressLineNumbers w:val="0"/>
              <w:snapToGrid w:val="0"/>
              <w:ind w:left="0" w:leftChars="0" w:right="0" w:rightChars="0" w:firstLine="0" w:firstLineChars="0"/>
              <w:jc w:val="center"/>
              <w:textAlignment w:val="center"/>
              <w:rPr>
                <w:rFonts w:hint="default"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配送机器人、智能拣货车等</w:t>
            </w:r>
          </w:p>
        </w:tc>
        <w:tc>
          <w:tcPr>
            <w:tcW w:w="9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E30FB">
            <w:pPr>
              <w:snapToGrid w:val="0"/>
              <w:ind w:left="0" w:leftChars="0" w:right="0" w:rightChars="0" w:firstLine="0" w:firstLineChars="0"/>
              <w:jc w:val="center"/>
              <w:rPr>
                <w:rFonts w:hint="default"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物流机器人不低于10台</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BB41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91A4B">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年</w:t>
            </w:r>
          </w:p>
        </w:tc>
      </w:tr>
    </w:tbl>
    <w:p w14:paraId="1F61C13A">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运营要求：</w:t>
      </w:r>
    </w:p>
    <w:p w14:paraId="68400540">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cs="宋体"/>
          <w:sz w:val="24"/>
          <w:szCs w:val="24"/>
          <w:lang w:eastAsia="zh-CN"/>
        </w:rPr>
        <w:t>）</w:t>
      </w:r>
      <w:r>
        <w:rPr>
          <w:rFonts w:hint="eastAsia" w:ascii="宋体" w:hAnsi="宋体" w:eastAsia="宋体" w:cs="宋体"/>
          <w:sz w:val="24"/>
          <w:szCs w:val="24"/>
          <w:lang w:eastAsia="zh-CN"/>
        </w:rPr>
        <w:t>中心库和院外仓应配置相应信息及物流设施设备，库房条件满足医院医用耗材存储需求和工作人员办公需求，配备电脑、打印机、移动PDA等系统终端设备、定制类货架、库内拣货车、周转箱、下送箱等物流作业工具，便于运营团队集中完成耗材的上架、存储、下架、打包、赋码、配送等全流程作业，实现耗材智能分拣，满足智能化模式的有效运行。</w:t>
      </w:r>
    </w:p>
    <w:p w14:paraId="3E9A5E96">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eastAsia="宋体" w:cs="宋体"/>
          <w:sz w:val="24"/>
          <w:szCs w:val="24"/>
          <w:lang w:eastAsia="zh-CN"/>
        </w:rPr>
        <w:t>对于有冷藏需求的耗材，库中须配备专业冷藏设施与设备。</w:t>
      </w:r>
      <w:r>
        <w:rPr>
          <w:rFonts w:hint="eastAsia" w:ascii="宋体" w:hAnsi="宋体" w:eastAsia="宋体" w:cs="宋体"/>
          <w:sz w:val="24"/>
          <w:szCs w:val="24"/>
          <w:lang w:val="en-US" w:eastAsia="zh-CN"/>
        </w:rPr>
        <w:t>冷链运输</w:t>
      </w:r>
      <w:r>
        <w:rPr>
          <w:rFonts w:hint="eastAsia" w:ascii="宋体" w:hAnsi="宋体" w:eastAsia="宋体" w:cs="宋体"/>
          <w:sz w:val="24"/>
          <w:szCs w:val="24"/>
          <w:lang w:eastAsia="zh-CN"/>
        </w:rPr>
        <w:t>车辆</w:t>
      </w:r>
      <w:r>
        <w:rPr>
          <w:rFonts w:hint="eastAsia" w:ascii="宋体" w:hAnsi="宋体" w:eastAsia="宋体" w:cs="宋体"/>
          <w:sz w:val="24"/>
          <w:szCs w:val="24"/>
          <w:lang w:val="en-US" w:eastAsia="zh-CN"/>
        </w:rPr>
        <w:t>需</w:t>
      </w:r>
      <w:r>
        <w:rPr>
          <w:rFonts w:hint="eastAsia" w:ascii="宋体" w:hAnsi="宋体" w:eastAsia="宋体" w:cs="宋体"/>
          <w:sz w:val="24"/>
          <w:szCs w:val="24"/>
          <w:lang w:eastAsia="zh-CN"/>
        </w:rPr>
        <w:t>全程自动监控温度并有记录及自动报警功能，且有完善的温度记录及交接记录制度。</w:t>
      </w:r>
    </w:p>
    <w:p w14:paraId="06AACE2C">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3</w:t>
      </w:r>
      <w:r>
        <w:rPr>
          <w:rFonts w:hint="eastAsia" w:ascii="宋体" w:hAnsi="宋体" w:cs="宋体"/>
          <w:sz w:val="24"/>
          <w:szCs w:val="24"/>
          <w:lang w:eastAsia="zh-CN"/>
        </w:rPr>
        <w:t>）</w:t>
      </w:r>
      <w:r>
        <w:rPr>
          <w:rFonts w:hint="eastAsia" w:ascii="宋体" w:hAnsi="宋体" w:eastAsia="宋体" w:cs="宋体"/>
          <w:sz w:val="24"/>
          <w:szCs w:val="24"/>
          <w:lang w:eastAsia="zh-CN"/>
        </w:rPr>
        <w:t>运营商负责对配置的设备设施（</w:t>
      </w:r>
      <w:r>
        <w:rPr>
          <w:rFonts w:hint="eastAsia" w:ascii="宋体" w:hAnsi="宋体" w:eastAsia="宋体" w:cs="宋体"/>
          <w:sz w:val="24"/>
          <w:szCs w:val="24"/>
          <w:lang w:val="en-US" w:eastAsia="zh-CN"/>
        </w:rPr>
        <w:t>含高值柜、智能屋、物流机器人等</w:t>
      </w:r>
      <w:r>
        <w:rPr>
          <w:rFonts w:hint="eastAsia" w:ascii="宋体" w:hAnsi="宋体" w:eastAsia="宋体" w:cs="宋体"/>
          <w:sz w:val="24"/>
          <w:szCs w:val="24"/>
          <w:lang w:eastAsia="zh-CN"/>
        </w:rPr>
        <w:t>）进行维护保养及维修，并承担相应费用，</w:t>
      </w:r>
      <w:r>
        <w:rPr>
          <w:rFonts w:hint="eastAsia" w:ascii="宋体" w:hAnsi="宋体" w:eastAsia="宋体" w:cs="宋体"/>
          <w:sz w:val="24"/>
          <w:szCs w:val="24"/>
          <w:lang w:val="en-US" w:eastAsia="zh-CN"/>
        </w:rPr>
        <w:t>医院享有运营商</w:t>
      </w:r>
      <w:r>
        <w:rPr>
          <w:rFonts w:hint="eastAsia" w:ascii="宋体" w:hAnsi="宋体" w:eastAsia="宋体" w:cs="宋体"/>
          <w:sz w:val="24"/>
          <w:szCs w:val="24"/>
          <w:lang w:eastAsia="zh-CN"/>
        </w:rPr>
        <w:t>配置的设备设施</w:t>
      </w:r>
      <w:r>
        <w:rPr>
          <w:rFonts w:hint="eastAsia" w:ascii="宋体" w:hAnsi="宋体" w:eastAsia="宋体" w:cs="宋体"/>
          <w:sz w:val="24"/>
          <w:szCs w:val="24"/>
          <w:lang w:val="en-US" w:eastAsia="zh-CN"/>
        </w:rPr>
        <w:t>3年使用权</w:t>
      </w:r>
      <w:r>
        <w:rPr>
          <w:rFonts w:hint="eastAsia" w:ascii="宋体" w:hAnsi="宋体" w:eastAsia="宋体" w:cs="宋体"/>
          <w:sz w:val="24"/>
          <w:szCs w:val="24"/>
          <w:lang w:eastAsia="zh-CN"/>
        </w:rPr>
        <w:t>。</w:t>
      </w:r>
    </w:p>
    <w:p w14:paraId="1F01DCB3">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）车辆配送时间要求：应急货物不超过2小时，特急货物不超过1小时，智能柜（按预警值补货）不超过8小时，常规物资配送时限不超过24小时，特殊情况下最长不超过48小时。</w:t>
      </w:r>
      <w:r>
        <w:rPr>
          <w:rFonts w:hint="eastAsia" w:ascii="宋体" w:hAnsi="宋体" w:eastAsia="宋体" w:cs="宋体"/>
          <w:sz w:val="24"/>
          <w:szCs w:val="24"/>
          <w:lang w:val="en-US" w:eastAsia="zh-CN"/>
        </w:rPr>
        <w:t>如公司不能够在规定时限内为医院配送所需产品，应及时通知院方，并在合理时间内恢复产品的供应，但不因此免除逾期供货的违约责任。在运营商恢复产品的供应前医院有权从其他渠道采购配送商所不能配送的产品，以保证临床的正常运行；因逾期供货产生的后果及责任由运营商承担，因逾期配送导致的经济损失、医疗纠纷等全部责任及损失由配送商承担，并由运营商承担由此产生的包括但不限于行政及医疗损害责任。</w:t>
      </w:r>
    </w:p>
    <w:p w14:paraId="7EE2395E">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（5）运营商需</w:t>
      </w:r>
      <w:r>
        <w:rPr>
          <w:rFonts w:hint="eastAsia" w:ascii="宋体" w:hAnsi="宋体" w:cs="宋体"/>
          <w:sz w:val="24"/>
          <w:szCs w:val="24"/>
          <w:lang w:val="en-US" w:eastAsia="zh-CN"/>
        </w:rPr>
        <w:t>提供</w:t>
      </w:r>
      <w:r>
        <w:rPr>
          <w:rFonts w:hint="eastAsia" w:ascii="宋体" w:hAnsi="宋体" w:eastAsia="宋体" w:cs="宋体"/>
          <w:sz w:val="24"/>
          <w:szCs w:val="24"/>
          <w:lang w:val="en-US" w:eastAsia="zh-CN"/>
        </w:rPr>
        <w:t>耗材供货承诺，如有违反，医院将予以书面警告并不予支付该配送产品的货款，情节严重</w:t>
      </w:r>
      <w:r>
        <w:rPr>
          <w:rFonts w:hint="eastAsia" w:ascii="宋体" w:hAnsi="宋体" w:cs="宋体"/>
          <w:sz w:val="24"/>
          <w:szCs w:val="24"/>
          <w:lang w:val="en-US" w:eastAsia="zh-CN"/>
        </w:rPr>
        <w:t>的将</w:t>
      </w:r>
      <w:r>
        <w:rPr>
          <w:rFonts w:hint="eastAsia" w:ascii="宋体" w:hAnsi="宋体" w:eastAsia="宋体" w:cs="宋体"/>
          <w:sz w:val="24"/>
          <w:szCs w:val="24"/>
          <w:lang w:val="en-US" w:eastAsia="zh-CN"/>
        </w:rPr>
        <w:t>取消其对该产品的配送资格，合同期内书面警告达3次或以上的，医院有权无条件单方面解除与其签订的耗材采购合同，并有权</w:t>
      </w:r>
      <w:r>
        <w:rPr>
          <w:rFonts w:hint="eastAsia" w:ascii="宋体" w:hAnsi="宋体" w:cs="宋体"/>
          <w:sz w:val="24"/>
          <w:szCs w:val="24"/>
          <w:lang w:val="en-US" w:eastAsia="zh-CN"/>
        </w:rPr>
        <w:t>从其他渠道</w:t>
      </w:r>
      <w:r>
        <w:rPr>
          <w:rFonts w:hint="eastAsia" w:ascii="宋体" w:hAnsi="宋体" w:eastAsia="宋体" w:cs="宋体"/>
          <w:sz w:val="24"/>
          <w:szCs w:val="24"/>
          <w:lang w:val="en-US" w:eastAsia="zh-CN"/>
        </w:rPr>
        <w:t>采购产品，保证医院临床工作正常运行。</w:t>
      </w:r>
    </w:p>
    <w:p w14:paraId="767A0382">
      <w:pPr>
        <w:pStyle w:val="11"/>
        <w:keepNext w:val="0"/>
        <w:keepLines w:val="0"/>
        <w:pageBreakBefore w:val="0"/>
        <w:widowControl w:val="0"/>
        <w:kinsoku/>
        <w:wordWrap/>
        <w:overflowPunct/>
        <w:topLinePunct w:val="0"/>
        <w:autoSpaceDE/>
        <w:autoSpaceDN/>
        <w:bidi w:val="0"/>
        <w:adjustRightInd w:val="0"/>
        <w:snapToGrid/>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（6）物流机器人需能够前后双向运动</w:t>
      </w:r>
      <w:r>
        <w:rPr>
          <w:rFonts w:hint="eastAsia" w:ascii="宋体" w:hAnsi="宋体" w:cs="宋体"/>
          <w:sz w:val="24"/>
          <w:szCs w:val="24"/>
          <w:lang w:val="en-US" w:eastAsia="zh-CN"/>
        </w:rPr>
        <w:t>，具</w:t>
      </w:r>
      <w:r>
        <w:rPr>
          <w:rFonts w:hint="eastAsia" w:ascii="宋体" w:hAnsi="宋体" w:eastAsia="宋体" w:cs="宋体"/>
          <w:sz w:val="24"/>
          <w:szCs w:val="24"/>
          <w:lang w:val="en-US" w:eastAsia="zh-CN"/>
        </w:rPr>
        <w:t>有较高运动灵活性，可根据场景需要同时配送多个箱体，整体载重≥300kg，满载续航能力≥8小时，同时支持激光导航+惯性导航+视觉导航等</w:t>
      </w:r>
      <w:r>
        <w:rPr>
          <w:rFonts w:hint="eastAsia" w:ascii="宋体" w:hAnsi="宋体" w:cs="宋体"/>
          <w:sz w:val="24"/>
          <w:szCs w:val="24"/>
          <w:lang w:val="en-US" w:eastAsia="zh-CN"/>
        </w:rPr>
        <w:t>多种</w:t>
      </w:r>
      <w:r>
        <w:rPr>
          <w:rFonts w:hint="eastAsia" w:ascii="宋体" w:hAnsi="宋体" w:eastAsia="宋体" w:cs="宋体"/>
          <w:sz w:val="24"/>
          <w:szCs w:val="24"/>
          <w:lang w:val="en-US" w:eastAsia="zh-CN"/>
        </w:rPr>
        <w:t>方式，以满足医院业务管理的场景要求。</w:t>
      </w:r>
    </w:p>
    <w:p w14:paraId="662C34FE">
      <w:pPr>
        <w:pStyle w:val="3"/>
        <w:numPr>
          <w:ilvl w:val="0"/>
          <w:numId w:val="2"/>
        </w:numPr>
        <w:ind w:left="0" w:leftChars="0" w:firstLine="0" w:firstLineChars="0"/>
        <w:rPr>
          <w:b w:val="0"/>
        </w:rPr>
      </w:pPr>
      <w:r>
        <w:t>驻点运营团队岗位设置</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9"/>
        <w:gridCol w:w="5650"/>
        <w:gridCol w:w="733"/>
        <w:gridCol w:w="1180"/>
      </w:tblGrid>
      <w:tr w14:paraId="6ACD7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8D11F">
            <w:pPr>
              <w:keepNext w:val="0"/>
              <w:keepLines w:val="0"/>
              <w:widowControl/>
              <w:suppressLineNumbers w:val="0"/>
              <w:snapToGrid w:val="0"/>
              <w:ind w:left="0" w:leftChars="0" w:right="0" w:rightChars="0" w:firstLine="0" w:firstLineChars="0"/>
              <w:jc w:val="center"/>
              <w:textAlignment w:val="center"/>
              <w:rPr>
                <w:rFonts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院区</w:t>
            </w:r>
          </w:p>
        </w:tc>
        <w:tc>
          <w:tcPr>
            <w:tcW w:w="3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88DD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岗位</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1C75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人数</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DAD3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合计人数</w:t>
            </w:r>
          </w:p>
        </w:tc>
      </w:tr>
      <w:tr w14:paraId="137FB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jc w:val="center"/>
        </w:trPr>
        <w:tc>
          <w:tcPr>
            <w:tcW w:w="5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4473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院外仓</w:t>
            </w:r>
          </w:p>
        </w:tc>
        <w:tc>
          <w:tcPr>
            <w:tcW w:w="3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4C51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验收</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AA26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4</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D7205">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18</w:t>
            </w:r>
          </w:p>
        </w:tc>
      </w:tr>
      <w:tr w14:paraId="1DDFD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A0FF2">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c>
          <w:tcPr>
            <w:tcW w:w="33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25B9E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拣货出库</w:t>
            </w:r>
          </w:p>
        </w:tc>
        <w:tc>
          <w:tcPr>
            <w:tcW w:w="4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356E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5</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B4F17">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r>
      <w:tr w14:paraId="1AA25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72F1B">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c>
          <w:tcPr>
            <w:tcW w:w="33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20F7A">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c>
          <w:tcPr>
            <w:tcW w:w="4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8E71A">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B744C">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r>
      <w:tr w14:paraId="7F2D6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13066">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c>
          <w:tcPr>
            <w:tcW w:w="3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B533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配送司机</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B1E3D">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647C1">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r>
      <w:tr w14:paraId="55744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98F7A">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c>
          <w:tcPr>
            <w:tcW w:w="3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C745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资质结算（包含资质管理、信息维护、平台上报等）</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47C9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4</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1BC62">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r>
      <w:tr w14:paraId="0A235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51599">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c>
          <w:tcPr>
            <w:tcW w:w="3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83B1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组长</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1C29B">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3</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E0E8A">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r>
      <w:tr w14:paraId="681EC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3" w:type="pct"/>
            <w:vMerge w:val="restart"/>
            <w:tcBorders>
              <w:top w:val="single" w:color="000000" w:sz="4" w:space="0"/>
              <w:left w:val="single" w:color="000000" w:sz="4" w:space="0"/>
              <w:bottom w:val="nil"/>
              <w:right w:val="single" w:color="000000" w:sz="4" w:space="0"/>
            </w:tcBorders>
            <w:shd w:val="clear" w:color="auto" w:fill="auto"/>
            <w:vAlign w:val="center"/>
          </w:tcPr>
          <w:p w14:paraId="05942C0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老院区</w:t>
            </w:r>
          </w:p>
        </w:tc>
        <w:tc>
          <w:tcPr>
            <w:tcW w:w="3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2B71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科室对接</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649C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2</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789F4A">
            <w:pPr>
              <w:keepNext w:val="0"/>
              <w:keepLines w:val="0"/>
              <w:widowControl/>
              <w:suppressLineNumbers w:val="0"/>
              <w:snapToGrid w:val="0"/>
              <w:ind w:left="0" w:leftChars="0" w:right="0" w:rightChars="0" w:firstLine="0" w:firstLineChars="0"/>
              <w:jc w:val="center"/>
              <w:textAlignment w:val="center"/>
              <w:rPr>
                <w:rFonts w:hint="default" w:ascii="微软雅黑" w:hAnsi="微软雅黑" w:eastAsia="微软雅黑" w:cs="微软雅黑"/>
                <w:b w:val="0"/>
                <w:bCs w:val="0"/>
                <w:i w:val="0"/>
                <w:iCs w:val="0"/>
                <w:color w:val="000000"/>
                <w:sz w:val="18"/>
                <w:szCs w:val="18"/>
                <w:u w:val="none"/>
                <w:lang w:val="en-US"/>
              </w:rPr>
            </w:pPr>
            <w:r>
              <w:rPr>
                <w:rFonts w:hint="eastAsia" w:ascii="微软雅黑" w:hAnsi="微软雅黑" w:eastAsia="微软雅黑" w:cs="微软雅黑"/>
                <w:b w:val="0"/>
                <w:bCs w:val="0"/>
                <w:i w:val="0"/>
                <w:iCs w:val="0"/>
                <w:color w:val="000000"/>
                <w:kern w:val="0"/>
                <w:sz w:val="18"/>
                <w:szCs w:val="18"/>
                <w:u w:val="none"/>
                <w:lang w:val="en-US" w:eastAsia="zh-CN" w:bidi="ar"/>
              </w:rPr>
              <w:t>11</w:t>
            </w:r>
          </w:p>
        </w:tc>
      </w:tr>
      <w:tr w14:paraId="7D8BB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3" w:type="pct"/>
            <w:vMerge w:val="continue"/>
            <w:tcBorders>
              <w:top w:val="single" w:color="000000" w:sz="4" w:space="0"/>
              <w:left w:val="single" w:color="000000" w:sz="4" w:space="0"/>
              <w:bottom w:val="nil"/>
              <w:right w:val="single" w:color="000000" w:sz="4" w:space="0"/>
            </w:tcBorders>
            <w:shd w:val="clear" w:color="auto" w:fill="auto"/>
            <w:vAlign w:val="center"/>
          </w:tcPr>
          <w:p w14:paraId="720C4401">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c>
          <w:tcPr>
            <w:tcW w:w="3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7213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验收（中转仓验收，跟台手术耗材验收）</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A90A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E1A74">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r>
      <w:tr w14:paraId="52877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3" w:type="pct"/>
            <w:vMerge w:val="continue"/>
            <w:tcBorders>
              <w:top w:val="single" w:color="000000" w:sz="4" w:space="0"/>
              <w:left w:val="single" w:color="000000" w:sz="4" w:space="0"/>
              <w:bottom w:val="nil"/>
              <w:right w:val="single" w:color="000000" w:sz="4" w:space="0"/>
            </w:tcBorders>
            <w:shd w:val="clear" w:color="auto" w:fill="auto"/>
            <w:vAlign w:val="center"/>
          </w:tcPr>
          <w:p w14:paraId="64D4885F">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c>
          <w:tcPr>
            <w:tcW w:w="3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3C30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手术室</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3247B">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3</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493D7">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r>
      <w:tr w14:paraId="5C1FC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3" w:type="pct"/>
            <w:vMerge w:val="continue"/>
            <w:tcBorders>
              <w:top w:val="single" w:color="000000" w:sz="4" w:space="0"/>
              <w:left w:val="single" w:color="000000" w:sz="4" w:space="0"/>
              <w:bottom w:val="nil"/>
              <w:right w:val="single" w:color="000000" w:sz="4" w:space="0"/>
            </w:tcBorders>
            <w:shd w:val="clear" w:color="auto" w:fill="auto"/>
            <w:vAlign w:val="center"/>
          </w:tcPr>
          <w:p w14:paraId="7A9E5ECD">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c>
          <w:tcPr>
            <w:tcW w:w="3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6AEF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院内物流人员</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C59D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4</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1B31C">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r>
      <w:tr w14:paraId="51206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4C179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东院区</w:t>
            </w:r>
          </w:p>
        </w:tc>
        <w:tc>
          <w:tcPr>
            <w:tcW w:w="3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AA035">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验收（中转仓验收，跟台手术耗材验收）</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5A74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2</w:t>
            </w:r>
          </w:p>
        </w:tc>
        <w:tc>
          <w:tcPr>
            <w:tcW w:w="6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FBF9B">
            <w:pPr>
              <w:keepNext w:val="0"/>
              <w:keepLines w:val="0"/>
              <w:widowControl/>
              <w:suppressLineNumbers w:val="0"/>
              <w:snapToGrid w:val="0"/>
              <w:ind w:left="0" w:leftChars="0" w:right="0" w:rightChars="0" w:firstLine="0" w:firstLineChars="0"/>
              <w:jc w:val="center"/>
              <w:textAlignment w:val="center"/>
              <w:rPr>
                <w:rFonts w:hint="default" w:ascii="微软雅黑" w:hAnsi="微软雅黑" w:eastAsia="微软雅黑" w:cs="微软雅黑"/>
                <w:b w:val="0"/>
                <w:bCs w:val="0"/>
                <w:i w:val="0"/>
                <w:iCs w:val="0"/>
                <w:color w:val="000000"/>
                <w:sz w:val="18"/>
                <w:szCs w:val="18"/>
                <w:u w:val="none"/>
                <w:lang w:val="en-US"/>
              </w:rPr>
            </w:pPr>
            <w:r>
              <w:rPr>
                <w:rFonts w:hint="eastAsia" w:ascii="微软雅黑" w:hAnsi="微软雅黑" w:eastAsia="微软雅黑" w:cs="微软雅黑"/>
                <w:b w:val="0"/>
                <w:bCs w:val="0"/>
                <w:i w:val="0"/>
                <w:iCs w:val="0"/>
                <w:color w:val="000000"/>
                <w:kern w:val="0"/>
                <w:sz w:val="18"/>
                <w:szCs w:val="18"/>
                <w:u w:val="none"/>
                <w:lang w:val="en-US" w:eastAsia="zh-CN" w:bidi="ar"/>
              </w:rPr>
              <w:t>11</w:t>
            </w:r>
          </w:p>
        </w:tc>
      </w:tr>
      <w:tr w14:paraId="24643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33F34">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c>
          <w:tcPr>
            <w:tcW w:w="3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0C63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手术室</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2840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3</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E802D">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r>
      <w:tr w14:paraId="577F1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56977">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c>
          <w:tcPr>
            <w:tcW w:w="3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9ED9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科室对接</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ECCE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2</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D93E7">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r>
      <w:tr w14:paraId="32FA4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982EC">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c>
          <w:tcPr>
            <w:tcW w:w="3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A3EB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院内物流人员</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2907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4</w:t>
            </w:r>
          </w:p>
        </w:tc>
        <w:tc>
          <w:tcPr>
            <w:tcW w:w="6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17CA5">
            <w:pPr>
              <w:snapToGrid w:val="0"/>
              <w:ind w:left="0" w:leftChars="0" w:right="0" w:rightChars="0" w:firstLine="0" w:firstLineChars="0"/>
              <w:jc w:val="center"/>
              <w:rPr>
                <w:rFonts w:hint="eastAsia" w:ascii="微软雅黑" w:hAnsi="微软雅黑" w:eastAsia="微软雅黑" w:cs="微软雅黑"/>
                <w:b w:val="0"/>
                <w:bCs w:val="0"/>
                <w:i w:val="0"/>
                <w:iCs w:val="0"/>
                <w:color w:val="000000"/>
                <w:sz w:val="18"/>
                <w:szCs w:val="18"/>
                <w:u w:val="none"/>
              </w:rPr>
            </w:pPr>
          </w:p>
        </w:tc>
      </w:tr>
      <w:tr w14:paraId="6F562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854CD">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合计</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1B945">
            <w:pPr>
              <w:keepNext w:val="0"/>
              <w:keepLines w:val="0"/>
              <w:widowControl/>
              <w:suppressLineNumbers w:val="0"/>
              <w:snapToGrid w:val="0"/>
              <w:ind w:left="0" w:leftChars="0" w:right="0" w:rightChars="0" w:firstLine="0" w:firstLineChars="0"/>
              <w:jc w:val="center"/>
              <w:textAlignment w:val="center"/>
              <w:rPr>
                <w:rFonts w:hint="default" w:ascii="微软雅黑" w:hAnsi="微软雅黑" w:eastAsia="微软雅黑" w:cs="微软雅黑"/>
                <w:b w:val="0"/>
                <w:bCs w:val="0"/>
                <w:i w:val="0"/>
                <w:iCs w:val="0"/>
                <w:color w:val="000000"/>
                <w:sz w:val="18"/>
                <w:szCs w:val="18"/>
                <w:u w:val="none"/>
                <w:lang w:val="en-US"/>
              </w:rPr>
            </w:pPr>
            <w:r>
              <w:rPr>
                <w:rFonts w:hint="eastAsia" w:ascii="微软雅黑" w:hAnsi="微软雅黑" w:eastAsia="微软雅黑" w:cs="微软雅黑"/>
                <w:b w:val="0"/>
                <w:bCs w:val="0"/>
                <w:i w:val="0"/>
                <w:iCs w:val="0"/>
                <w:color w:val="000000"/>
                <w:kern w:val="0"/>
                <w:sz w:val="18"/>
                <w:szCs w:val="18"/>
                <w:u w:val="none"/>
                <w:lang w:val="en-US" w:eastAsia="zh-CN" w:bidi="ar"/>
              </w:rPr>
              <w:t>40</w:t>
            </w:r>
          </w:p>
        </w:tc>
      </w:tr>
    </w:tbl>
    <w:p w14:paraId="300E568A">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cs="宋体"/>
          <w:sz w:val="24"/>
          <w:szCs w:val="24"/>
          <w:lang w:eastAsia="zh-CN"/>
        </w:rPr>
      </w:pPr>
      <w:r>
        <w:rPr>
          <w:rFonts w:hint="eastAsia" w:ascii="宋体" w:hAnsi="宋体" w:cs="宋体"/>
          <w:sz w:val="24"/>
          <w:szCs w:val="24"/>
          <w:lang w:eastAsia="zh-CN"/>
        </w:rPr>
        <w:t>人员与制度要求：</w:t>
      </w:r>
    </w:p>
    <w:p w14:paraId="0D69231D">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cs="宋体"/>
          <w:sz w:val="24"/>
          <w:szCs w:val="24"/>
          <w:lang w:eastAsia="zh-CN"/>
        </w:rPr>
        <w:t>）项目应配备不少于</w:t>
      </w:r>
      <w:r>
        <w:rPr>
          <w:rFonts w:hint="eastAsia" w:ascii="宋体" w:hAnsi="宋体" w:cs="宋体"/>
          <w:sz w:val="24"/>
          <w:szCs w:val="24"/>
          <w:lang w:val="en-US" w:eastAsia="zh-CN"/>
        </w:rPr>
        <w:t>40</w:t>
      </w:r>
      <w:r>
        <w:rPr>
          <w:rFonts w:hint="eastAsia" w:ascii="宋体" w:hAnsi="宋体" w:cs="宋体"/>
          <w:sz w:val="24"/>
          <w:szCs w:val="24"/>
          <w:lang w:eastAsia="zh-CN"/>
        </w:rPr>
        <w:t>名专业技术人员，协助医院做好医用耗材运输、资质证件维护、验货等管理工作。拟委派的项目小组成员具有临床医学或医疗器械相关专业大专及以上学历，熟悉医疗器械监督管理的法律法规，配合医院建立应急处理小组，保证整个服务流程顺利高效实施。</w:t>
      </w:r>
    </w:p>
    <w:p w14:paraId="73A68CBA">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应当建立与所经营耗材相适配的质量管理制度，并配备相应的质量管理机构或人员，实现耗材购进、储存、销售等全过程的质量控制管理。有符合要求的信息系统，建立购销单位、经营品种和销售人员等国家法规要求记录的信息数据库，可实现双向溯源管理。植入类介入类高风险医疗器械应当建立真实、完整的追溯管理体系。实行库存医用耗材“动态管理”，满足电子监管的实施条件。</w:t>
      </w:r>
    </w:p>
    <w:p w14:paraId="38EBB4A7">
      <w:pPr>
        <w:pStyle w:val="11"/>
        <w:keepNext w:val="0"/>
        <w:keepLines w:val="0"/>
        <w:pageBreakBefore w:val="0"/>
        <w:widowControl w:val="0"/>
        <w:kinsoku/>
        <w:wordWrap/>
        <w:overflowPunct/>
        <w:topLinePunct w:val="0"/>
        <w:autoSpaceDE/>
        <w:autoSpaceDN/>
        <w:bidi w:val="0"/>
        <w:adjustRightInd w:val="0"/>
        <w:snapToGrid/>
        <w:textAlignment w:val="auto"/>
        <w:rPr>
          <w:rFonts w:hint="eastAsia" w:ascii="宋体" w:hAnsi="宋体" w:cs="宋体"/>
          <w:sz w:val="24"/>
          <w:szCs w:val="24"/>
          <w:lang w:eastAsia="zh-CN"/>
        </w:rPr>
      </w:pPr>
    </w:p>
    <w:p w14:paraId="73600057">
      <w:pPr>
        <w:rPr>
          <w:rFonts w:ascii="Times New Roman" w:hAnsi="Times New Roman" w:eastAsia="宋体" w:cs="Times New Roman"/>
          <w:b/>
          <w:color w:val="0F1115"/>
          <w:sz w:val="24"/>
          <w:szCs w:val="24"/>
        </w:rPr>
      </w:pPr>
      <w:r>
        <w:rPr>
          <w:rFonts w:ascii="Times New Roman" w:hAnsi="Times New Roman" w:eastAsia="宋体" w:cs="Times New Roman"/>
          <w:b/>
          <w:color w:val="0F1115"/>
          <w:sz w:val="24"/>
          <w:szCs w:val="24"/>
        </w:rPr>
        <w:br w:type="page"/>
      </w:r>
    </w:p>
    <w:p w14:paraId="3EE6794F">
      <w:pPr>
        <w:pStyle w:val="2"/>
        <w:widowControl/>
        <w:numPr>
          <w:ilvl w:val="0"/>
          <w:numId w:val="1"/>
        </w:numPr>
        <w:shd w:val="clear" w:fill="FFFFFF"/>
        <w:topLinePunct w:val="0"/>
        <w:ind w:left="0" w:leftChars="0" w:firstLine="0" w:firstLineChars="0"/>
        <w:rPr>
          <w:rFonts w:hint="eastAsia" w:ascii="黑体" w:hAnsi="黑体" w:eastAsia="黑体" w:cs="黑体"/>
          <w:b w:val="0"/>
        </w:rPr>
      </w:pPr>
      <w:r>
        <w:t>集配项目要求</w:t>
      </w:r>
    </w:p>
    <w:p w14:paraId="2146666E">
      <w:pPr>
        <w:pStyle w:val="11"/>
        <w:rPr>
          <w:rFonts w:hint="eastAsia" w:eastAsia="宋体"/>
          <w:sz w:val="24"/>
          <w:szCs w:val="24"/>
          <w:lang w:eastAsia="zh-CN"/>
        </w:rPr>
      </w:pPr>
      <w:r>
        <w:rPr>
          <w:rFonts w:hint="eastAsia" w:ascii="宋体" w:hAnsi="宋体" w:cs="宋体"/>
          <w:b w:val="0"/>
          <w:sz w:val="24"/>
          <w:szCs w:val="24"/>
          <w:lang w:val="en-US" w:eastAsia="zh-CN"/>
        </w:rPr>
        <w:t>1.</w:t>
      </w:r>
      <w:r>
        <w:rPr>
          <w:rFonts w:hint="eastAsia" w:ascii="宋体" w:hAnsi="宋体" w:eastAsia="宋体" w:cs="宋体"/>
          <w:b w:val="0"/>
          <w:sz w:val="24"/>
          <w:szCs w:val="24"/>
          <w:lang w:eastAsia="zh-CN"/>
        </w:rPr>
        <w:t>应具备符合所经营耗材贮存标准的专用设施设备。投标人</w:t>
      </w:r>
      <w:r>
        <w:rPr>
          <w:rFonts w:hint="eastAsia" w:ascii="宋体" w:hAnsi="宋体" w:cs="宋体"/>
          <w:b w:val="0"/>
          <w:sz w:val="24"/>
          <w:szCs w:val="24"/>
          <w:lang w:eastAsia="zh-CN"/>
        </w:rPr>
        <w:t>须</w:t>
      </w:r>
      <w:r>
        <w:rPr>
          <w:rFonts w:hint="eastAsia" w:ascii="宋体" w:hAnsi="宋体" w:eastAsia="宋体" w:cs="宋体"/>
          <w:b w:val="0"/>
          <w:sz w:val="24"/>
          <w:szCs w:val="24"/>
          <w:lang w:eastAsia="zh-CN"/>
        </w:rPr>
        <w:t>具备仓储、物流配送能力与医用耗材配送资质，拥有常温库、阴凉库、冷藏库，满足医用耗材运输储存条件；</w:t>
      </w:r>
      <w:r>
        <w:rPr>
          <w:rFonts w:hint="eastAsia" w:ascii="宋体" w:hAnsi="宋体" w:cs="宋体"/>
          <w:b w:val="0"/>
          <w:sz w:val="24"/>
          <w:szCs w:val="24"/>
          <w:lang w:val="en-US" w:eastAsia="zh-CN"/>
        </w:rPr>
        <w:t>江门市</w:t>
      </w:r>
      <w:r>
        <w:rPr>
          <w:rFonts w:hint="eastAsia" w:ascii="宋体" w:hAnsi="宋体" w:eastAsia="宋体" w:cs="宋体"/>
          <w:b w:val="0"/>
          <w:sz w:val="24"/>
          <w:szCs w:val="24"/>
          <w:lang w:eastAsia="zh-CN"/>
        </w:rPr>
        <w:t>内有合格仓库，需标明各仓库面积，提供房产证明或房屋租赁证明复印件并加盖公章，仓库符合监管要求；自有（或租赁或委托）配送车辆≥5辆，其中冷链车至少2辆，需全程自动温控、有记录及自动报警，具备完善的温度记录及交接记录制度；需提供行驶证复印件，租赁或委托运输车辆需提供对应协议。</w:t>
      </w:r>
    </w:p>
    <w:p w14:paraId="253673B5">
      <w:pPr>
        <w:pStyle w:val="11"/>
        <w:rPr>
          <w:rFonts w:hint="eastAsia" w:eastAsia="宋体"/>
          <w:sz w:val="24"/>
          <w:szCs w:val="24"/>
          <w:lang w:eastAsia="zh-CN"/>
        </w:rPr>
      </w:pPr>
      <w:r>
        <w:rPr>
          <w:rFonts w:hint="eastAsia" w:ascii="宋体" w:hAnsi="宋体" w:cs="宋体"/>
          <w:b w:val="0"/>
          <w:sz w:val="24"/>
          <w:szCs w:val="24"/>
          <w:lang w:val="en-US" w:eastAsia="zh-CN"/>
        </w:rPr>
        <w:t>2.</w:t>
      </w:r>
      <w:r>
        <w:rPr>
          <w:rFonts w:hint="eastAsia" w:ascii="宋体" w:hAnsi="宋体" w:eastAsia="宋体" w:cs="宋体"/>
          <w:b w:val="0"/>
          <w:sz w:val="24"/>
          <w:szCs w:val="24"/>
          <w:lang w:eastAsia="zh-CN"/>
        </w:rPr>
        <w:t>应当有与所经营耗材适配的质量管理制度、质量管理机构或人员，实现耗材购进、储存、</w:t>
      </w:r>
      <w:r>
        <w:rPr>
          <w:rFonts w:hint="eastAsia" w:ascii="宋体" w:hAnsi="宋体" w:cs="宋体"/>
          <w:b w:val="0"/>
          <w:sz w:val="24"/>
          <w:szCs w:val="24"/>
          <w:lang w:eastAsia="zh-CN"/>
        </w:rPr>
        <w:t>销售</w:t>
      </w:r>
      <w:r>
        <w:rPr>
          <w:rFonts w:hint="eastAsia" w:ascii="宋体" w:hAnsi="宋体" w:eastAsia="宋体" w:cs="宋体"/>
          <w:b w:val="0"/>
          <w:sz w:val="24"/>
          <w:szCs w:val="24"/>
          <w:lang w:eastAsia="zh-CN"/>
        </w:rPr>
        <w:t>全过程质量控制。配备符合要求的信息系统，建立法规要求的购销单位、经营品种、销售人员等信息数据库，可实现双向溯源管理</w:t>
      </w:r>
      <w:r>
        <w:rPr>
          <w:rFonts w:hint="eastAsia" w:ascii="宋体" w:hAnsi="宋体" w:cs="宋体"/>
          <w:b w:val="0"/>
          <w:sz w:val="24"/>
          <w:szCs w:val="24"/>
          <w:lang w:val="en-US" w:eastAsia="zh-CN"/>
        </w:rPr>
        <w:t>，同时可提供医院库存查询功能</w:t>
      </w:r>
      <w:r>
        <w:rPr>
          <w:rFonts w:hint="eastAsia" w:ascii="宋体" w:hAnsi="宋体" w:eastAsia="宋体" w:cs="宋体"/>
          <w:b w:val="0"/>
          <w:sz w:val="24"/>
          <w:szCs w:val="24"/>
          <w:lang w:eastAsia="zh-CN"/>
        </w:rPr>
        <w:t>；植入类、介入类高风险医疗器械需建立真实完整的追溯管理体系，实行库存医用耗材动态管理，满足电子监管实施条件。</w:t>
      </w:r>
    </w:p>
    <w:p w14:paraId="513DB1C1">
      <w:pPr>
        <w:pStyle w:val="11"/>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必须确保医院现行耗材目录不变、厂家品牌不变、耗材供货价不高于本合同签订前的价格供货；且在市场价格下调的情况下，医院有调价的权利；医用耗材的采购必须符合国家和广东省医用耗材采购的相关规定原则。</w:t>
      </w:r>
    </w:p>
    <w:p w14:paraId="2071BBBF">
      <w:pPr>
        <w:pStyle w:val="11"/>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必须能供应满足医院业务所需的耗材，并严格按照医院指定的医用耗材目录内的项目、品牌、价格、供应商（生产厂家）进行配送，保证货源渠道合法正规，确保医院临床使用医用耗材的合法性、安全性和稳定性，并</w:t>
      </w:r>
      <w:r>
        <w:rPr>
          <w:rFonts w:hint="eastAsia" w:ascii="宋体" w:hAnsi="宋体" w:cs="宋体"/>
          <w:b w:val="0"/>
          <w:sz w:val="24"/>
          <w:szCs w:val="24"/>
          <w:lang w:val="en-US" w:eastAsia="zh-CN"/>
        </w:rPr>
        <w:t>负责</w:t>
      </w:r>
      <w:r>
        <w:rPr>
          <w:rFonts w:hint="eastAsia" w:ascii="宋体" w:hAnsi="宋体" w:eastAsia="宋体" w:cs="宋体"/>
          <w:b w:val="0"/>
          <w:sz w:val="24"/>
          <w:szCs w:val="24"/>
          <w:lang w:val="en-US" w:eastAsia="zh-CN"/>
        </w:rPr>
        <w:t>医院耗材的管理及相关人员业务培训。</w:t>
      </w:r>
    </w:p>
    <w:p w14:paraId="534F62DA">
      <w:pPr>
        <w:pStyle w:val="11"/>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5.必须在保证供货质量的前提下，按期按量供应，遵循“按时、按质、按量”的配送原则，做到日常耗材24小时内送达，最长不超过48小时，应急情况及高值耗材等医用耗材</w:t>
      </w:r>
      <w:r>
        <w:rPr>
          <w:rFonts w:hint="eastAsia" w:ascii="宋体" w:hAnsi="宋体" w:cs="宋体"/>
          <w:b w:val="0"/>
          <w:sz w:val="24"/>
          <w:szCs w:val="24"/>
          <w:lang w:val="en-US" w:eastAsia="zh-CN"/>
        </w:rPr>
        <w:t>2</w:t>
      </w:r>
      <w:r>
        <w:rPr>
          <w:rFonts w:hint="eastAsia" w:ascii="宋体" w:hAnsi="宋体" w:eastAsia="宋体" w:cs="宋体"/>
          <w:b w:val="0"/>
          <w:sz w:val="24"/>
          <w:szCs w:val="24"/>
          <w:lang w:val="en-US" w:eastAsia="zh-CN"/>
        </w:rPr>
        <w:t>小时内送达。此处送达是指配送货物到达中心仓库（或</w:t>
      </w:r>
      <w:r>
        <w:rPr>
          <w:rFonts w:hint="eastAsia" w:ascii="宋体" w:hAnsi="宋体" w:cs="宋体"/>
          <w:b w:val="0"/>
          <w:sz w:val="24"/>
          <w:szCs w:val="24"/>
          <w:lang w:val="en-US" w:eastAsia="zh-CN"/>
        </w:rPr>
        <w:t>医院</w:t>
      </w:r>
      <w:r>
        <w:rPr>
          <w:rFonts w:hint="eastAsia" w:ascii="宋体" w:hAnsi="宋体" w:eastAsia="宋体" w:cs="宋体"/>
          <w:b w:val="0"/>
          <w:sz w:val="24"/>
          <w:szCs w:val="24"/>
          <w:lang w:val="en-US" w:eastAsia="zh-CN"/>
        </w:rPr>
        <w:t>指定的地点）并签收。如配送商不能够在规定时限内为医院配送所需产品，应及时通知院方，并在合理时间内恢复产品的供应，但配送商不因此免除逾期供货的违约责任。在配送商恢复产品的供应前医院有权从其他渠道采购配送商所不能配送的产品，以保证临床的正常运行；因逾期供货产生的后果及责任由配送商承担，因逾期配送导致的经济损失、医疗纠纷等全部责任及损失由配送商承担，并由配送商承担由此产生的包括但不限于行政及医疗损害责任。</w:t>
      </w:r>
    </w:p>
    <w:p w14:paraId="2524AD3B">
      <w:pPr>
        <w:pStyle w:val="11"/>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配送商需提供耗材供货承诺，如有违反，医院将予以书面警告并不予支付该配送产品的货款，情节严重将取消其对该产品的配送资格，合同期内书面警告达3次或以上的，医院有权无条件单方面解除与其签订的耗材采购合同，并有权</w:t>
      </w:r>
      <w:r>
        <w:rPr>
          <w:rFonts w:hint="eastAsia" w:ascii="宋体" w:hAnsi="宋体" w:cs="宋体"/>
          <w:b w:val="0"/>
          <w:sz w:val="24"/>
          <w:szCs w:val="24"/>
          <w:lang w:val="en-US" w:eastAsia="zh-CN"/>
        </w:rPr>
        <w:t>从其他渠道</w:t>
      </w:r>
      <w:r>
        <w:rPr>
          <w:rFonts w:hint="eastAsia" w:ascii="宋体" w:hAnsi="宋体" w:eastAsia="宋体" w:cs="宋体"/>
          <w:b w:val="0"/>
          <w:sz w:val="24"/>
          <w:szCs w:val="24"/>
          <w:lang w:val="en-US" w:eastAsia="zh-CN"/>
        </w:rPr>
        <w:t>采购产品，保证医院临床工作正常运行。</w:t>
      </w:r>
    </w:p>
    <w:p w14:paraId="36096C45">
      <w:pPr>
        <w:pStyle w:val="11"/>
        <w:rPr>
          <w:rFonts w:hint="default" w:ascii="宋体" w:hAnsi="宋体" w:cs="宋体"/>
          <w:b w:val="0"/>
          <w:sz w:val="24"/>
          <w:szCs w:val="24"/>
          <w:lang w:val="en-US" w:eastAsia="zh-CN"/>
        </w:rPr>
      </w:pPr>
      <w:r>
        <w:rPr>
          <w:rFonts w:hint="eastAsia" w:ascii="宋体" w:hAnsi="宋体" w:cs="宋体"/>
          <w:b w:val="0"/>
          <w:sz w:val="24"/>
          <w:szCs w:val="24"/>
          <w:lang w:val="en-US" w:eastAsia="zh-CN"/>
        </w:rPr>
        <w:t>7.需在医院附近建立重点耗材储备仓库，确保医院高值耗材使用安全，针对临床急救、抢救及手术必备耗材，需提前储备，医院可实时查询库存储备情况，确保紧急情况可2小时内送达医院。</w:t>
      </w:r>
    </w:p>
    <w:p w14:paraId="0249C640">
      <w:pPr>
        <w:pStyle w:val="11"/>
        <w:rPr>
          <w:rFonts w:hint="eastAsia" w:ascii="宋体" w:hAnsi="宋体" w:eastAsia="宋体" w:cs="宋体"/>
          <w:b w:val="0"/>
          <w:sz w:val="24"/>
          <w:szCs w:val="24"/>
          <w:lang w:val="en-US" w:eastAsia="zh-CN"/>
        </w:rPr>
      </w:pPr>
      <w:r>
        <w:rPr>
          <w:rFonts w:hint="eastAsia" w:ascii="宋体" w:hAnsi="宋体" w:cs="宋体"/>
          <w:b w:val="0"/>
          <w:sz w:val="24"/>
          <w:szCs w:val="24"/>
          <w:lang w:val="en-US" w:eastAsia="zh-CN"/>
        </w:rPr>
        <w:t>8</w:t>
      </w:r>
      <w:r>
        <w:rPr>
          <w:rFonts w:hint="eastAsia" w:ascii="宋体" w:hAnsi="宋体" w:eastAsia="宋体" w:cs="宋体"/>
          <w:b w:val="0"/>
          <w:sz w:val="24"/>
          <w:szCs w:val="24"/>
          <w:lang w:val="en-US" w:eastAsia="zh-CN"/>
        </w:rPr>
        <w:t>.需提供能应对以下情况的应急预案（包括但不限于）：高、低值耗材安全事故应急预案、高、低值耗材不良事件等突发状况应急预案、信息系统故障应对应急预案。</w:t>
      </w:r>
    </w:p>
    <w:p w14:paraId="18AB10E4">
      <w:pPr>
        <w:pStyle w:val="11"/>
        <w:rPr>
          <w:rFonts w:hint="eastAsia" w:ascii="宋体" w:hAnsi="宋体" w:eastAsia="宋体" w:cs="宋体"/>
          <w:b w:val="0"/>
          <w:sz w:val="24"/>
          <w:szCs w:val="24"/>
          <w:lang w:val="en-US" w:eastAsia="zh-CN"/>
        </w:rPr>
      </w:pPr>
      <w:r>
        <w:rPr>
          <w:rFonts w:hint="eastAsia" w:ascii="宋体" w:hAnsi="宋体" w:cs="宋体"/>
          <w:b w:val="0"/>
          <w:sz w:val="24"/>
          <w:szCs w:val="24"/>
          <w:lang w:val="en-US" w:eastAsia="zh-CN"/>
        </w:rPr>
        <w:t>9</w:t>
      </w:r>
      <w:r>
        <w:rPr>
          <w:rFonts w:hint="eastAsia" w:ascii="宋体" w:hAnsi="宋体" w:eastAsia="宋体" w:cs="宋体"/>
          <w:b w:val="0"/>
          <w:sz w:val="24"/>
          <w:szCs w:val="24"/>
          <w:lang w:val="en-US" w:eastAsia="zh-CN"/>
        </w:rPr>
        <w:t>.负责配送的产品，在产品送到中心仓库（或医院指定的地址）前分别由配送商负责，风险由配送商承担。产品送达后，由运营商和医院工作人员共同验收后，由运营商负责分包、赋码并从中心仓库配送到医院各耗材消耗点。运营服务商此阶段配送的产品，自收取患者费用或科室使用之日起，所有权转移至医院；所有权转移前，产品相关风险由运营商承担。</w:t>
      </w:r>
    </w:p>
    <w:p w14:paraId="2FF0C2BC">
      <w:pPr>
        <w:pStyle w:val="11"/>
        <w:rPr>
          <w:rFonts w:hint="eastAsia" w:ascii="宋体" w:hAnsi="宋体" w:eastAsia="宋体" w:cs="宋体"/>
          <w:b w:val="0"/>
          <w:sz w:val="24"/>
          <w:szCs w:val="24"/>
          <w:lang w:val="en-US" w:eastAsia="zh-CN"/>
        </w:rPr>
      </w:pPr>
      <w:r>
        <w:rPr>
          <w:rFonts w:hint="eastAsia" w:ascii="宋体" w:hAnsi="宋体" w:cs="宋体"/>
          <w:b w:val="0"/>
          <w:sz w:val="24"/>
          <w:szCs w:val="24"/>
          <w:lang w:val="en-US" w:eastAsia="zh-CN"/>
        </w:rPr>
        <w:t>10</w:t>
      </w:r>
      <w:r>
        <w:rPr>
          <w:rFonts w:hint="eastAsia" w:ascii="宋体" w:hAnsi="宋体" w:eastAsia="宋体" w:cs="宋体"/>
          <w:b w:val="0"/>
          <w:sz w:val="24"/>
          <w:szCs w:val="24"/>
          <w:lang w:val="en-US" w:eastAsia="zh-CN"/>
        </w:rPr>
        <w:t>.各集配公司在满足上述基础要求的基础上，还需提供医用耗材集中配送方案（仓储配送方案、预库存方案、质量管理方案、应急方案、配送费比例、与供货商签约时效、驻场管理、保供策略等），耗材降价方案及实施路径，不可收费耗材成本管控方案及管理预期指标，试剂类耗材成本管控方</w:t>
      </w:r>
      <w:bookmarkStart w:id="0" w:name="_GoBack"/>
      <w:bookmarkEnd w:id="0"/>
      <w:r>
        <w:rPr>
          <w:rFonts w:hint="eastAsia" w:ascii="宋体" w:hAnsi="宋体" w:eastAsia="宋体" w:cs="宋体"/>
          <w:b w:val="0"/>
          <w:sz w:val="24"/>
          <w:szCs w:val="24"/>
          <w:lang w:val="en-US" w:eastAsia="zh-CN"/>
        </w:rPr>
        <w:t>案及管理预期指标，与现有SPD平台交接方案。</w:t>
      </w:r>
    </w:p>
    <w:p w14:paraId="049E9F78">
      <w:pPr>
        <w:pStyle w:val="11"/>
        <w:rPr>
          <w:rFonts w:hint="eastAsia" w:ascii="宋体" w:hAnsi="宋体" w:eastAsia="宋体" w:cs="宋体"/>
          <w:b w:val="0"/>
          <w:sz w:val="24"/>
          <w:szCs w:val="24"/>
          <w:lang w:val="en-US" w:eastAsia="zh-CN"/>
        </w:rPr>
      </w:pPr>
      <w:r>
        <w:rPr>
          <w:rFonts w:hint="eastAsia" w:ascii="宋体" w:hAnsi="宋体" w:cs="宋体"/>
          <w:b w:val="0"/>
          <w:sz w:val="24"/>
          <w:szCs w:val="24"/>
          <w:lang w:val="en-US" w:eastAsia="zh-CN"/>
        </w:rPr>
        <w:t>11</w:t>
      </w:r>
      <w:r>
        <w:rPr>
          <w:rFonts w:hint="eastAsia" w:ascii="宋体" w:hAnsi="宋体" w:eastAsia="宋体" w:cs="宋体"/>
          <w:b w:val="0"/>
          <w:sz w:val="24"/>
          <w:szCs w:val="24"/>
          <w:lang w:val="en-US" w:eastAsia="zh-CN"/>
        </w:rPr>
        <w:t>.若配送商发生资产合并、调整等变动，或影响项目运行的，医院有权对其配送份额予以相应调整，直至取消配送资格。配送商应就医用耗材院内外衔接流程与供应商做好沟通，并下发工作流程说明，帮助供应商熟练操作医院物流系统。</w:t>
      </w:r>
    </w:p>
    <w:p w14:paraId="257DA901">
      <w:pPr>
        <w:rPr>
          <w:rFonts w:hint="eastAsia" w:ascii="宋体" w:hAnsi="宋体" w:eastAsia="宋体" w:cs="宋体"/>
          <w:b/>
          <w:bCs w:val="0"/>
          <w:color w:val="0F1115"/>
          <w:sz w:val="24"/>
          <w:szCs w:val="24"/>
          <w:lang w:val="en-US" w:eastAsia="zh-CN"/>
        </w:rPr>
      </w:pPr>
    </w:p>
    <w:p w14:paraId="0D70A6B2">
      <w:pPr>
        <w:rPr>
          <w:rFonts w:hint="eastAsia" w:ascii="宋体" w:hAnsi="宋体" w:eastAsia="宋体" w:cs="宋体"/>
          <w:b/>
          <w:bCs w:val="0"/>
          <w:color w:val="0F1115"/>
          <w:sz w:val="24"/>
          <w:szCs w:val="24"/>
          <w:lang w:val="en-US" w:eastAsia="zh-CN"/>
        </w:rPr>
      </w:pPr>
    </w:p>
    <w:p w14:paraId="71FDA45B">
      <w:pPr>
        <w:rPr>
          <w:rFonts w:hint="eastAsia" w:ascii="宋体" w:hAnsi="宋体" w:eastAsia="宋体" w:cs="宋体"/>
          <w:b/>
          <w:bCs w:val="0"/>
          <w:color w:val="0F1115"/>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3A7E99"/>
    <w:multiLevelType w:val="singleLevel"/>
    <w:tmpl w:val="033A7E99"/>
    <w:lvl w:ilvl="0" w:tentative="0">
      <w:start w:val="1"/>
      <w:numFmt w:val="decimal"/>
      <w:suff w:val="space"/>
      <w:lvlText w:val="%1."/>
      <w:lvlJc w:val="left"/>
      <w:pPr>
        <w:ind w:left="0" w:firstLine="0"/>
      </w:pPr>
      <w:rPr>
        <w:rFonts w:hint="default"/>
      </w:rPr>
    </w:lvl>
  </w:abstractNum>
  <w:abstractNum w:abstractNumId="1">
    <w:nsid w:val="2B46822D"/>
    <w:multiLevelType w:val="singleLevel"/>
    <w:tmpl w:val="2B46822D"/>
    <w:lvl w:ilvl="0" w:tentative="0">
      <w:start w:val="1"/>
      <w:numFmt w:val="chineseCounting"/>
      <w:suff w:val="nothing"/>
      <w:lvlText w:val="第%1部分："/>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0F395E"/>
    <w:rsid w:val="007633CE"/>
    <w:rsid w:val="040F0964"/>
    <w:rsid w:val="0A144EC6"/>
    <w:rsid w:val="0A850CD2"/>
    <w:rsid w:val="118E082A"/>
    <w:rsid w:val="17BA0860"/>
    <w:rsid w:val="1C983EED"/>
    <w:rsid w:val="27A44741"/>
    <w:rsid w:val="28B46C06"/>
    <w:rsid w:val="29883BEF"/>
    <w:rsid w:val="2A8820F8"/>
    <w:rsid w:val="2B011EAB"/>
    <w:rsid w:val="2BAD269D"/>
    <w:rsid w:val="2C8E3C12"/>
    <w:rsid w:val="308977BE"/>
    <w:rsid w:val="32601BAD"/>
    <w:rsid w:val="34AE6BFF"/>
    <w:rsid w:val="34DA79F4"/>
    <w:rsid w:val="35DE3217"/>
    <w:rsid w:val="371A67CE"/>
    <w:rsid w:val="38024818"/>
    <w:rsid w:val="392845EB"/>
    <w:rsid w:val="3A2A623E"/>
    <w:rsid w:val="3ABD5DEE"/>
    <w:rsid w:val="3E410AE4"/>
    <w:rsid w:val="40F756AD"/>
    <w:rsid w:val="41076015"/>
    <w:rsid w:val="42DC702D"/>
    <w:rsid w:val="44894F93"/>
    <w:rsid w:val="44D3496A"/>
    <w:rsid w:val="45412B2B"/>
    <w:rsid w:val="49927E10"/>
    <w:rsid w:val="4BCD1C09"/>
    <w:rsid w:val="52D86B9E"/>
    <w:rsid w:val="52DC2732"/>
    <w:rsid w:val="52F46074"/>
    <w:rsid w:val="54BB745B"/>
    <w:rsid w:val="5B1F58B2"/>
    <w:rsid w:val="5BA67D81"/>
    <w:rsid w:val="5E082F75"/>
    <w:rsid w:val="5E2D4789"/>
    <w:rsid w:val="62CA25A7"/>
    <w:rsid w:val="62DA02EF"/>
    <w:rsid w:val="640D6BEF"/>
    <w:rsid w:val="65574A90"/>
    <w:rsid w:val="7012012E"/>
    <w:rsid w:val="718B3BF7"/>
    <w:rsid w:val="72827F6B"/>
    <w:rsid w:val="7309711B"/>
    <w:rsid w:val="73247AB1"/>
    <w:rsid w:val="732755EC"/>
    <w:rsid w:val="74EE0377"/>
    <w:rsid w:val="790F395E"/>
    <w:rsid w:val="79D0629D"/>
    <w:rsid w:val="7E631C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semiHidden/>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semiHidden/>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11">
    <w:name w:val="Body Text"/>
    <w:next w:val="1"/>
    <w:qFormat/>
    <w:uiPriority w:val="99"/>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3">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paragraph" w:customStyle="1" w:styleId="16">
    <w:name w:val="强调标题"/>
    <w:next w:val="1"/>
    <w:qFormat/>
    <w:uiPriority w:val="0"/>
    <w:pPr>
      <w:spacing w:after="120" w:line="360" w:lineRule="auto"/>
      <w:ind w:firstLine="420" w:firstLineChars="200"/>
      <w:outlineLvl w:val="0"/>
    </w:pPr>
    <w:rPr>
      <w:rFonts w:ascii="Calibri" w:hAnsi="Calibri" w:eastAsia="宋体" w:cs="Times New Roman"/>
      <w:b/>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b6686c18-206e-4876-b169-62c1a136f13b</errorID>
      <errorWord>实现</errorWord>
      <group>L1_Punc</group>
      <groupName>标点问题</groupName>
      <ability>L2_Punc_CN</ability>
      <abilityName>标点符号问题</abilityName>
      <candidateList>
        <item>，实现</item>
      </candidateList>
      <explain/>
      <paraID>7E5B1CDE</paraID>
      <start>62</start>
      <end>65</end>
      <status>modified</status>
      <modifiedWord>，实现</modifiedWord>
      <trackRevisions>false</trackRevisions>
    </reviewItem>
    <reviewItem>
      <errorID>ebfa41e5-4cd2-4cc8-bcad-67316036e681</errorID>
      <errorWord>进入</errorWord>
      <group>L1_Punc</group>
      <groupName>标点问题</groupName>
      <ability>L2_Punc_CN</ability>
      <abilityName>标点符号问题</abilityName>
      <candidateList>
        <item>，进入</item>
      </candidateList>
      <explain/>
      <paraID>76BB7413</paraID>
      <start>58</start>
      <end>61</end>
      <status>modified</status>
      <modifiedWord>，进入</modifiedWord>
      <trackRevisions>false</trackRevisions>
    </reviewItem>
    <reviewItem>
      <errorID>1cbcbf79-4478-4fcb-b26e-9d86c62d4364</errorID>
      <errorWord>，</errorWord>
      <group>L1_Punc</group>
      <groupName>标点问题</groupName>
      <ability>L2_Punc_CN</ability>
      <abilityName>标点符号问题</abilityName>
      <candidateList>
        <item/>
      </candidateList>
      <explain/>
      <paraID>76BB7413</paraID>
      <start>64</start>
      <end>64</end>
      <status>modified</status>
      <modifiedWord/>
      <trackRevisions>false</trackRevisions>
    </reviewItem>
    <reviewItem>
      <errorID>b1d3dbe0-0bd7-47eb-8dd2-1c898afc5a47</errorID>
      <errorWord>针对</errorWord>
      <group>L1_Word</group>
      <groupName>字词问题</groupName>
      <ability>L2_Typo</ability>
      <abilityName>字词错误</abilityName>
      <candidateList>
        <item>对</item>
      </candidateList>
      <explain/>
      <paraID>76BB7413</paraID>
      <start>179</start>
      <end>180</end>
      <status>modified</status>
      <modifiedWord>对</modifiedWord>
      <trackRevisions>false</trackRevisions>
    </reviewItem>
    <reviewItem>
      <errorID>86b41a29-4b93-43c6-9c48-5c252fc4e189</errorID>
      <errorWord>看</errorWord>
      <group>L1_Word</group>
      <groupName>字词问题</groupName>
      <ability>L2_Typo</ability>
      <abilityName>字词错误</abilityName>
      <candidateList>
        <item>看有</item>
      </candidateList>
      <explain/>
      <paraID>  237C3E</paraID>
      <start>51</start>
      <end>53</end>
      <status>modified</status>
      <modifiedWord>看有</modifiedWord>
      <trackRevisions>false</trackRevisions>
    </reviewItem>
    <reviewItem>
      <errorID>db20424f-1d31-4463-90d0-ccf0027c3b74</errorID>
      <errorWord>提供包括</errorWord>
      <group>L1_Grammar</group>
      <groupName>语法问题</groupName>
      <ability>L2_Grammar</ability>
      <abilityName>语法错误</abilityName>
      <candidateList>
        <item>提供</item>
      </candidateList>
      <explain/>
      <paraID>  237C3E</paraID>
      <start>109</start>
      <end>111</end>
      <status>modified</status>
      <modifiedWord>提供</modifiedWord>
      <trackRevisions>false</trackRevisions>
    </reviewItem>
    <reviewItem>
      <errorID>7b2a1597-dc86-4519-81f5-400f904083c4</errorID>
      <errorWord>以及包括</errorWord>
      <group>L1_Grammar</group>
      <groupName>语法问题</groupName>
      <ability>L2_Grammar</ability>
      <abilityName>语法错误</abilityName>
      <candidateList>
        <item>以及</item>
      </candidateList>
      <explain/>
      <paraID>  237C3E</paraID>
      <start>125</start>
      <end>127</end>
      <status>modified</status>
      <modifiedWord>以及</modifiedWord>
      <trackRevisions>false</trackRevisions>
    </reviewItem>
    <reviewItem>
      <errorID>5ff06cdf-7722-4a01-a2db-48c2459ec6c3</errorID>
      <errorWord>，</errorWord>
      <group>L1_Punc</group>
      <groupName>标点问题</groupName>
      <ability>L2_Punc_CN</ability>
      <abilityName>标点符号问题</abilityName>
      <candidateList>
        <item>、</item>
      </candidateList>
      <explain/>
      <paraID>  237C3E</paraID>
      <start>141</start>
      <end>142</end>
      <status>modified</status>
      <modifiedWord>、</modifiedWord>
      <trackRevisions>false</trackRevisions>
    </reviewItem>
    <reviewItem>
      <errorID>905334ae-8127-4a6b-ad34-5503e0c6b8e0</errorID>
      <errorWord>不</errorWord>
      <group>L1_Word</group>
      <groupName>字词问题</groupName>
      <ability>L2_Typo</ability>
      <abilityName>字词错误</abilityName>
      <candidateList>
        <item>但不</item>
      </candidateList>
      <explain/>
      <paraID>46206068</paraID>
      <start>11</start>
      <end>13</end>
      <status>modified</status>
      <modifiedWord>但不</modifiedWord>
      <trackRevisions>false</trackRevisions>
    </reviewItem>
    <reviewItem>
      <errorID>686f07b7-86aa-4bd7-8385-7e19a4413c7c</errorID>
      <errorWord>.</errorWord>
      <group>L1_Word</group>
      <groupName>字词问题</groupName>
      <ability>L2_Typo</ability>
      <abilityName>字词错误</abilityName>
      <candidateList>
        <item>.检</item>
      </candidateList>
      <explain/>
      <paraID>46206068</paraID>
      <start>100</start>
      <end>102</end>
      <status>modified</status>
      <modifiedWord>.检</modifiedWord>
      <trackRevisions>false</trackRevisions>
    </reviewItem>
    <reviewItem>
      <errorID>6e5e369f-22a1-4dc8-bd98-627b637d2726</errorID>
      <errorWord>验</errorWord>
      <group>L1_Word</group>
      <groupName>字词问题</groupName>
      <ability>L2_Typo</ability>
      <abilityName>字词错误</abilityName>
      <candidateList>
        <item>检验</item>
      </candidateList>
      <explain/>
      <paraID>46206068</paraID>
      <start>102</start>
      <end>103</end>
      <status>ignored</status>
      <modifiedWord/>
      <trackRevisions>false</trackRevisions>
    </reviewItem>
    <reviewItem>
      <errorID>60183b79-0d3c-4c02-8193-ccfd68d8f715</errorID>
      <errorWord>提</errorWord>
      <group>L1_Word</group>
      <groupName>字词问题</groupName>
      <ability>L2_Typo</ability>
      <abilityName>字词错误</abilityName>
      <candidateList>
        <item>提供</item>
      </candidateList>
      <explain/>
      <paraID>7EE2395E</paraID>
      <start>7</start>
      <end>9</end>
      <status>modified</status>
      <modifiedWord>提供</modifiedWord>
      <trackRevisions>false</trackRevisions>
    </reviewItem>
    <reviewItem>
      <errorID>d3a05180-299b-4c61-b89c-917af61eec31</errorID>
      <errorWord>将</errorWord>
      <group>L1_Word</group>
      <groupName>字词问题</groupName>
      <ability>L2_Typo</ability>
      <abilityName>字词错误</abilityName>
      <candidateList>
        <item>的将</item>
      </candidateList>
      <explain/>
      <paraID>7EE2395E</paraID>
      <start>48</start>
      <end>50</end>
      <status>modified</status>
      <modifiedWord>的将</modifiedWord>
      <trackRevisions>false</trackRevisions>
    </reviewItem>
    <reviewItem>
      <errorID>6b23b4fd-5e35-499b-b8e8-db9dd820fc14</errorID>
      <errorWord>从其它渠道</errorWord>
      <group>L1_Word</group>
      <groupName>字词问题</groupName>
      <ability>L2_Alias</ability>
      <abilityName>也作/曾用词</abilityName>
      <candidateList>
        <item>从其他渠道</item>
      </candidateList>
      <explain>词汇[从其它渠道]为不规范表述或旧称，其规范书面表述为[从其他渠道]。</explain>
      <paraID>7EE2395E</paraID>
      <start>106</start>
      <end>111</end>
      <status>modified</status>
      <modifiedWord>从其他渠道</modifiedWord>
      <trackRevisions>false</trackRevisions>
    </reviewItem>
    <reviewItem>
      <errorID>ed821309-abad-4707-92a6-98939bf4c44a</errorID>
      <errorWord>，</errorWord>
      <group>L1_Word</group>
      <groupName>字词问题</groupName>
      <ability>L2_Typo</ability>
      <abilityName>字词错误</abilityName>
      <candidateList>
        <item>，具</item>
      </candidateList>
      <explain/>
      <paraID>767A0382</paraID>
      <start>17</start>
      <end>19</end>
      <status>modified</status>
      <modifiedWord>，具</modifiedWord>
      <trackRevisions>false</trackRevisions>
    </reviewItem>
    <reviewItem>
      <errorID>69197af7-1a99-4352-adf9-45bd5c088b0b</errorID>
      <errorWord>多</errorWord>
      <group>L1_Word</group>
      <groupName>字词问题</groupName>
      <ability>L2_Typo</ability>
      <abilityName>字词错误</abilityName>
      <candidateList>
        <item>多种</item>
      </candidateList>
      <explain/>
      <paraID>767A0382</paraID>
      <start>85</start>
      <end>87</end>
      <status>modified</status>
      <modifiedWord>多种</modifiedWord>
      <trackRevisions>false</trackRevisions>
    </reviewItem>
    <reviewItem>
      <errorID>84ca8707-bc5c-403e-9fce-9720afddc019</errorID>
      <errorWord>需</errorWord>
      <group>L1_Word</group>
      <groupName>字词问题</groupName>
      <ability>L2_Typo</ability>
      <abilityName>字词错误</abilityName>
      <candidateList>
        <item>须</item>
      </candidateList>
      <explain>存在发音相同字词的误用。</explain>
      <paraID>2146666E</paraID>
      <start>27</start>
      <end>28</end>
      <status>modified</status>
      <modifiedWord>须</modifiedWord>
      <trackRevisions>false</trackRevisions>
    </reviewItem>
    <reviewItem>
      <errorID>98cd5de5-5f61-41ec-9a27-b3cf6ee934b0</errorID>
      <errorWord>销量</errorWord>
      <group>L1_Word</group>
      <groupName>字词问题</groupName>
      <ability>L2_Typo</ability>
      <abilityName>字词错误</abilityName>
      <candidateList>
        <item>销售</item>
      </candidateList>
      <explain/>
      <paraID>253673B5</paraID>
      <start>41</start>
      <end>43</end>
      <status>modified</status>
      <modifiedWord>销售</modifiedWord>
      <trackRevisions>false</trackRevisions>
    </reviewItem>
    <reviewItem>
      <errorID>f68743af-0c5d-483e-bc70-6c0167f71e35</errorID>
      <errorWord>负责承担</errorWord>
      <group>L1_Grammar</group>
      <groupName>语法问题</groupName>
      <ability>L2_Grammar</ability>
      <abilityName>语法错误</abilityName>
      <candidateList>
        <item>负责</item>
      </candidateList>
      <explain/>
      <paraID>2071BBBF</paraID>
      <start>97</start>
      <end>99</end>
      <status>modified</status>
      <modifiedWord>负责</modifiedWord>
      <trackRevisions>false</trackRevisions>
    </reviewItem>
    <reviewItem>
      <errorID>825adc84-d33e-44a7-874d-d1cd42987935</errorID>
      <errorWord>从其它渠道</errorWord>
      <group>L1_Word</group>
      <groupName>字词问题</groupName>
      <ability>L2_Alias</ability>
      <abilityName>也作/曾用词</abilityName>
      <candidateList>
        <item>从其他渠道</item>
      </candidateList>
      <explain>词汇[从其它渠道]为不规范表述或旧称，其规范书面表述为[从其他渠道]。</explain>
      <paraID>2524AD3B</paraID>
      <start>104</start>
      <end>109</end>
      <status>modified</status>
      <modifiedWord>从其他渠道</modifiedWord>
      <trackRevisions>false</trackRevisions>
    </reviewItem>
    <reviewItem>
      <errorID>e67db37e-f7fb-4139-9718-8050d706bb56</errorID>
      <errorWord>在</errorWord>
      <group>L1_Word</group>
      <groupName>字词问题</groupName>
      <ability>L2_Typo</ability>
      <abilityName>字词错误</abilityName>
      <candidateList>
        <item>在医</item>
      </candidateList>
      <explain/>
      <paraID>36096C45</paraID>
      <start>3</start>
      <end>5</end>
      <status>modified</status>
      <modifiedWord>在医</modifiedWord>
      <trackRevisions>false</trackRevisions>
    </reviewItem>
    <reviewItem>
      <errorID>6237cb81-0a50-4979-add8-82114da5adb7</errorID>
      <errorWord>用耗</errorWord>
      <group>L1_Word</group>
      <groupName>字词问题</groupName>
      <ability>L2_Typo</ability>
      <abilityName>字词错误</abilityName>
      <candidateList>
        <item>使用</item>
      </candidateList>
      <explain/>
      <paraID>36096C45</paraID>
      <start>27</start>
      <end>29</end>
      <status>modified</status>
      <modifiedWord>使用</modifiedWord>
      <trackRevisions>false</trackRevisions>
    </reviewItem>
    <reviewItem>
      <errorID>550e415e-e553-404f-b829-d1bfb56542e9</errorID>
      <errorWord>运营商和医院工作人员</errorWord>
      <group>L1_Word</group>
      <groupName>字词问题</groupName>
      <ability>L2_Typo</ability>
      <abilityName>字词错误</abilityName>
      <candidateList>
        <item>医院工作人员和运营商</item>
      </candidateList>
      <explain/>
      <paraID>18AB10E4</paraID>
      <start>55</start>
      <end>65</end>
      <status>ignored</status>
      <modifiedWord/>
      <trackRevisions>false</trackRevisions>
    </reviewItem>
  </reviewItems>
  <config/>
</contractReview>
</file>

<file path=customXml/itemProps1.xml><?xml version="1.0" encoding="utf-8"?>
<ds:datastoreItem xmlns:ds="http://schemas.openxmlformats.org/officeDocument/2006/customXml" ds:itemID="{ccc56538-e100-4b00-aaf3-739dd5e38cd1}">
  <ds:schemaRefs/>
</ds:datastoreItem>
</file>

<file path=docProps/app.xml><?xml version="1.0" encoding="utf-8"?>
<Properties xmlns="http://schemas.openxmlformats.org/officeDocument/2006/extended-properties" xmlns:vt="http://schemas.openxmlformats.org/officeDocument/2006/docPropsVTypes">
  <Template>Normal.dotm</Template>
  <Pages>7</Pages>
  <Words>4909</Words>
  <Characters>5011</Characters>
  <Lines>0</Lines>
  <Paragraphs>0</Paragraphs>
  <TotalTime>10</TotalTime>
  <ScaleCrop>false</ScaleCrop>
  <LinksUpToDate>false</LinksUpToDate>
  <CharactersWithSpaces>5011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2026-08-18T01:38:00Z</dcterms:created>
  <dc:creator>城</dc:creator>
  <cp:lastModifiedBy>城</cp:lastModifiedBy>
  <dcterms:modified xsi:type="dcterms:W3CDTF">2026-10-26T06:54:28Z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DA38557AD3DA4FE7944189E87F865D42_13</vt:lpwstr>
  </property>
  <property fmtid="{D5CDD505-2E9C-101B-9397-08002B2CF9AE}" pid="4" name="KSOTemplateDocerSaveRecord">
    <vt:lpwstr>eyJoZGlkIjoiNzczMmVjY2NkNzU2NmQ3OGU2NGVkZmVlNjI1Yjc0YzciLCJ1c2VySWQiOiIyNTMxMDY2NzMifQ==</vt:lpwstr>
  </property>
</Properties>
</file>