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B639BB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jc w:val="center"/>
        <w:textAlignment w:val="auto"/>
        <w:outlineLvl w:val="2"/>
        <w:rPr>
          <w:rFonts w:hint="default" w:ascii="宋体" w:hAnsi="宋体" w:eastAsia="宋体" w:cs="宋体"/>
          <w:b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sz w:val="30"/>
          <w:szCs w:val="30"/>
        </w:rPr>
        <w:t>票据OCR自动识别与报销协同系统</w:t>
      </w:r>
      <w:r>
        <w:rPr>
          <w:rFonts w:hint="eastAsia" w:ascii="宋体" w:hAnsi="宋体" w:cs="宋体"/>
          <w:b/>
          <w:sz w:val="30"/>
          <w:szCs w:val="30"/>
          <w:lang w:val="en-US" w:eastAsia="zh-CN"/>
        </w:rPr>
        <w:t>项目</w:t>
      </w:r>
    </w:p>
    <w:p w14:paraId="00D30FA0">
      <w:pPr>
        <w:pStyle w:val="18"/>
        <w:spacing w:line="360" w:lineRule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项目名称：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票据OCR自动识别与报销协同系统项目</w:t>
      </w:r>
    </w:p>
    <w:p w14:paraId="7750D90B">
      <w:pPr>
        <w:pStyle w:val="18"/>
        <w:spacing w:line="360" w:lineRule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预算金额：</w:t>
      </w: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46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0,000.00元</w:t>
      </w:r>
    </w:p>
    <w:p w14:paraId="5A08F8D9">
      <w:pPr>
        <w:pStyle w:val="18"/>
        <w:spacing w:line="360" w:lineRule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1、项目背景</w:t>
      </w:r>
    </w:p>
    <w:p w14:paraId="6D029DF8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江门市中心医院已实施HRP一期建设，初步建成覆盖人力资源、成本核算、固定资产、财务核算、物资管理等核心运营管理模块的一体化基础平台，为医院“人、财、物、成本、绩效”管理提供了信息化支撑。随着医院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总院区、东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院区协同运营和精细化管理要求不断提高，一期系统在总务后勤费用管理、票据智能识别与真伪校验、银医直连支付对账、运营数据全链路监测预警、跨系统一站式业务联动等方面仍需进一步补充完善。</w:t>
      </w:r>
    </w:p>
    <w:p w14:paraId="412161B2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当前医院总务科后勤费用涉及电话费、水电费、医疗垃圾费、洗衣费、饮用水、支装水、餐费补贴、清洁费、运送费等9类费用，存在填报方式不一、票据人工录入量大、发票超额核对困难、审批节点配置不灵活、台账与发票对账差异难以及时发现等问题；票据管理缺乏全院统一的OCR智能识别和国税查验能力，票据数据难以自动回填财务报销表单并实现重复报销校验；银医支付仍存在财务系统与网银双重录入、支付状态监测不足、三方对账效率不高等情况；审批流程缺乏全链路节点采集、时效分析和超时停滞预警；各业务系统菜单分散，跨系统接口配置和调用日志缺乏统一运维入口。</w:t>
      </w:r>
    </w:p>
    <w:p w14:paraId="4AE8587E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本项目为江门市中心医院HRP系统二期项目，作为HRP一期建设内容的补充和深化，按照“统一规范、统一代码、统一接口、避免重复建设”的原则，重点建设总务科费用管理、OCR智能票据管理、银医直连系统、数据中心与智能提醒、一站式业务联动平台等模块，并与一期HRP及HIS、HRP、预算、报账/报销、省GPO采购平台、国税查验平台等系统对接，进一步补齐一期业务短板，提升后勤费用、票据、支付、审批时效和跨系统协同的数字化管理水平。</w:t>
      </w:r>
    </w:p>
    <w:p w14:paraId="55F37F52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2、建设目标</w:t>
      </w:r>
    </w:p>
    <w:p w14:paraId="06D9B2D7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2.1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建成总务科费用全流程线上化管理能力：覆盖电话费、水电费、医疗垃圾费、洗衣费、饮用水、支装水、餐费补贴、清洁费、运送费共9类后勤费用，支持科室填报/导入→数据校验→OCR发票识别→费用核对→审批流转→待办提醒→汇总归档→报表导出全流程线上化。实现电话费模板下载、批量导入、费用自动核算、发票超额强制弹窗备注、审批节点自定义配置、台账与发票金额自动比对及对账差异生成；水电费手动填报、线上审批、OCR发票识别及科室自用与公共公摊独立备注；医疗垃圾费表单填报、模板下载、批量导入、费用确认及处置费用台账自动生成；洗衣房费用科室自主录入、总务科线上确认；饮用水/支装水复用医院现有物流管理系统；餐费补贴批量导入、结果报表下载、系统自动归档；清洁费/运送费空白模板下载、批量导入、科室确认后自动汇总全院数据并生成可视化报表；内置待办事项提醒引擎，自动推送审批和待确认事项。</w:t>
      </w:r>
    </w:p>
    <w:p w14:paraId="6387C901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2.2建成全院通用OCR智能票据管理基础模块：基于深度学习OCR算法，支持扫描件、拍照件识别，兼容增值税专票、电子普票、飞机票、火车票、出租车票等常见票据，自动提取票据代码、金额、开票日期、开票方等结构化信息；对接国税官方查验接口，自动校验发票真伪及是否重复报销，标记异常发票并弹窗预警，生成查验日志永久留存；识别数据自动回填总务费用表单和财务报销表单，同步至财务报销系统实现集中管理、重复校验、统一归档；封装OCR识别、发票验真、数据查询等通用API接口，供院内其他系统调用。</w:t>
      </w:r>
    </w:p>
    <w:p w14:paraId="20BB043D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2.3建成银医直连支付与自动对账能力：基于标准化云服务通道部署银行对接接口，支持接口状态实时监测和异常自动重试；依据银行协议统一维护支付数据交换标准，覆盖借款、报销、费用、采购、设备、工资等全场景，支持跨行行名、行号动态更新；深度对接医院财务、工资、物资、固定资产系统，实现员工借款、日常报销、工资奖金、后勤费用、耗材采购、设备采购等款项网上实时划转；自动联动财务账务、业务支付、银行流水三方数据，精准匹配筛查差异，替代财务系统与网银双重录入模式。</w:t>
      </w:r>
    </w:p>
    <w:p w14:paraId="4F74679E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2.4建成运营数据中心与智能提醒能力：搭建专属主题数据库，全域汇聚总务、财务、药剂相关业务数据，完成清洗、去重、标准化治理，构建统一数据底座；全自动抓取各类业务审批全链路数据，覆盖岗位角色、经办人、节点发起/办结时间、单节点耗时、流转路径等指标，实现全记录、全溯源；对审批流程进行全链路拆解，多维度量化统计单节点耗时、环节流转耗时、整体办结耗时，支持可视化呈现与趋势分析；支持可视化配置超时、停滞、滞后等预警规则，联动院内统一消息引擎精准推送至经办人及管理人员，统一规范审批流转标准，压缩办理时长。</w:t>
      </w:r>
    </w:p>
    <w:p w14:paraId="53830BC0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2.5建成一站式业务联动平台：集成多业务模块菜单，支持统一导航、快速跳转、页面滚动联动，避免频繁切换系统；支持可视化配置各对接系统接口信息，可灵活新增、修改、停用，适配后期拓展；全程记录跨系统接口调用数据，生成包含调用时间、模块、交互数据、响应状态、异常信息的日志，支持查询、筛选、导出和异常溯源。</w:t>
      </w:r>
    </w:p>
    <w:p w14:paraId="7CB9DD96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2.6实现与一期HRP及院内外部系统安全集成：通过HTTP+JSON接口协议，完成与HIS、HRP、预算系统、报账/报销系统、省GPO采购平台、国税查验平台等对接，实现药品字典、库存数据、预算额度校验、票据及付款申请数据、采购订单配送信息、发票真伪及唯一性校验等数据交互；系统部署于医院内网，采用独立应用服务器和数据库服务器，划分专用存储分区，关键操作响应时间≤3秒，支持7×24小时稳定运行，符合医院信息化建设安全规范。</w:t>
      </w:r>
    </w:p>
    <w:p w14:paraId="7AADAF7D">
      <w:pPr>
        <w:pStyle w:val="18"/>
        <w:spacing w:line="360" w:lineRule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3、技术、服务要求</w:t>
      </w:r>
    </w:p>
    <w:p w14:paraId="0D301A43">
      <w:pPr>
        <w:spacing w:line="360" w:lineRule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3.1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总体架构与技术选型要求</w:t>
      </w:r>
    </w:p>
    <w:p w14:paraId="423C22F2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架构模式：系统须采用B/S架构，基于分层设计，包括数据层、接口层、业务逻辑层、应用展示层及OCR智能识别模块；无需安装客户端，支持医院内网浏览器直接访问。 </w:t>
      </w:r>
    </w:p>
    <w:p w14:paraId="3B66EA73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部署环境：系统须部署于医院内网，保障数据传输安全；采用独立应用服务器、数据库服务器，应用服务器与数据库服务器分离；划分专用存储分区，用于存储票据图片、资质文件等附件。 </w:t>
      </w:r>
    </w:p>
    <w:p w14:paraId="4EFC5966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兼容性：系统须适配医院现有物流管理系统、HIS、HRP、预算系统等存量系统，实现数据无缝对接。 </w:t>
      </w:r>
    </w:p>
    <w:p w14:paraId="1AEA638B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扩展性：系统须采用模块化设计，预留功能拓展接口，支持后期业务板块新增。 </w:t>
      </w:r>
    </w:p>
    <w:p w14:paraId="3BC005D0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易用性：系统须支持待办提醒、批量导入/导出、自动填单等功能，降低人工操作成本。 </w:t>
      </w:r>
    </w:p>
    <w:p w14:paraId="4BBF704B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开发架构：采用B/S架构，无需安装客户端，通过内网浏览器访问，便于运维。 </w:t>
      </w:r>
    </w:p>
    <w:p w14:paraId="0B776FDC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数据库：支持MySQL或SQL Server等主流数据库，兼容国产信创数据库，并适配医院现有数据库环境。 </w:t>
      </w:r>
    </w:p>
    <w:p w14:paraId="04C3C7D4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OCR技术：须采用基于深度学习的智能图像识别算法，支持多类票据识别及结构化数据提取。 </w:t>
      </w:r>
    </w:p>
    <w:p w14:paraId="4BF346B0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接口协议：须支持HTTP+JSON接口协议，实现跨系统、跨平台数据交互。 </w:t>
      </w:r>
    </w:p>
    <w:p w14:paraId="085EA23C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3.2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核心模块技术参数要求</w:t>
      </w:r>
    </w:p>
    <w:p w14:paraId="3E702052">
      <w:pPr>
        <w:keepNext/>
        <w:numPr>
          <w:ilvl w:val="0"/>
          <w:numId w:val="3"/>
        </w:numPr>
        <w:snapToGrid w:val="0"/>
        <w:spacing w:line="360" w:lineRule="auto"/>
        <w:ind w:left="425" w:leftChars="0" w:right="0" w:rightChars="0" w:hanging="425" w:firstLineChars="0"/>
        <w:jc w:val="left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 xml:space="preserve">总务科费用管理模块 </w:t>
      </w:r>
    </w:p>
    <w:p w14:paraId="058A85ED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覆盖范围：须覆盖电话费、水电费、医疗垃圾费、洗衣费、饮用水、支装水、餐费补贴、清洁费、运送费共9类后勤费用。 </w:t>
      </w:r>
    </w:p>
    <w:p w14:paraId="412F4CB9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业务流程：须支持科室填报/导入→数据校验→OCR发票识别→费用核对→审批流转→待办提醒→汇总归档→报表导出全流程线上化。 </w:t>
      </w:r>
    </w:p>
    <w:p w14:paraId="47AC604E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电话费：须支持模板下载、批量导入、费用自动核算；集成OCR发票识别，发票超额须强制弹窗备注；线上审批节点须支持自定义配置；须自动比对台账与发票金额并生成对账差异。 </w:t>
      </w:r>
    </w:p>
    <w:p w14:paraId="18CBF45E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水电费：须支持手动填报、线上审批；须支持OCR水电发票识别；须设置独立备注字段，区分科室自用与公共公摊费用。 </w:t>
      </w:r>
    </w:p>
    <w:p w14:paraId="2468F77A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医疗垃圾费：须提供表单填报、模板下载、批量导入、费用确认功能，并自动生成处置费用台账。 </w:t>
      </w:r>
    </w:p>
    <w:p w14:paraId="4E0FB5F8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洗衣房费用：须支持科室自主录入，总务科线上确认。 </w:t>
      </w:r>
    </w:p>
    <w:p w14:paraId="2EB969E3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饮用水/支装水：须复用医院现有物流管理系统，不重复搭建。 </w:t>
      </w:r>
    </w:p>
    <w:p w14:paraId="6D805682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餐费补贴：须支持批量导入、结果报表下载；系统须自动归档，无需人工确认。 </w:t>
      </w:r>
    </w:p>
    <w:p w14:paraId="3BDDABBC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清洁费/运送费：须提供空白模板下载、批量导入；科室确认后，后台须自动汇总全院数据并生成可视化报表。 </w:t>
      </w:r>
    </w:p>
    <w:p w14:paraId="0D9D68B8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通用配套：须内置待办事项提醒引擎，自动推送审批、待确认事项提醒。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 w14:paraId="67CFB230">
      <w:pPr>
        <w:keepNext/>
        <w:numPr>
          <w:ilvl w:val="0"/>
          <w:numId w:val="3"/>
        </w:numPr>
        <w:snapToGrid w:val="0"/>
        <w:spacing w:line="360" w:lineRule="auto"/>
        <w:ind w:left="425" w:leftChars="0" w:right="0" w:rightChars="0" w:hanging="425" w:firstLineChars="0"/>
        <w:jc w:val="left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 xml:space="preserve">OCR智能票据管理模块 </w:t>
      </w:r>
    </w:p>
    <w:p w14:paraId="29A23EAC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模块定位：须为全院通用基础模块，独立开发，并对外提供调用接口。 </w:t>
      </w:r>
    </w:p>
    <w:p w14:paraId="5E7CC6B8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识别能力：须基于深度学习OCR算法，支持扫描件、拍照件识别；兼容增值税专票、电子普票、飞机票、火车票、出租车票等常见票据；须自动提取票据代码、金额、开票日期、开票方等结构化信息。 </w:t>
      </w:r>
    </w:p>
    <w:p w14:paraId="614D1D0A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真伪校验：须对接国税官方查验接口，自动校验发票真伪及是否重复报销；须标记异常发票并弹窗预警，生成查验日志并永久留存。 </w:t>
      </w:r>
    </w:p>
    <w:p w14:paraId="17285DC8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自动填单：识别后的数据须自动回填至总务费用表单、财务报销表单，减少人工录入。 </w:t>
      </w:r>
    </w:p>
    <w:p w14:paraId="0DB637AD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数据互通：OCR票据数据须同步至财务报销系统，实现集中管理、重复校验、统一归档。 </w:t>
      </w:r>
    </w:p>
    <w:p w14:paraId="35F74E78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接口服务：须封装OCR识别、发票验真、数据查询等通用API接口，供院内其他系统调用。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 w14:paraId="78E2A34A">
      <w:pPr>
        <w:keepNext/>
        <w:numPr>
          <w:ilvl w:val="0"/>
          <w:numId w:val="3"/>
        </w:numPr>
        <w:snapToGrid w:val="0"/>
        <w:spacing w:line="360" w:lineRule="auto"/>
        <w:ind w:left="425" w:leftChars="0" w:right="0" w:rightChars="0" w:hanging="425" w:firstLineChars="0"/>
        <w:jc w:val="left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 xml:space="preserve">银医直连系统模块 </w:t>
      </w:r>
    </w:p>
    <w:p w14:paraId="5348DD8F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银行接口：须基于标准化云服务通道部署银行对接接口，支持接口状态实时监测、异常自动重试，保障支付数据传输连续性与安全性。 </w:t>
      </w:r>
    </w:p>
    <w:p w14:paraId="1F4E6495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标准维护：须依据银行协议统一维护支付数据交换标准，覆盖借款、报销、费用、采购、设备、工资等全场景；支持跨行行名、行号动态更新。 </w:t>
      </w:r>
    </w:p>
    <w:p w14:paraId="007D1C85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线上支付：须深度对接医院财务、工资、物资、固定资产系统，实现员工借款、日常报销、工资奖金、后勤费用、耗材采购、设备采购等款项网上实时划转。 </w:t>
      </w:r>
    </w:p>
    <w:p w14:paraId="3488B1A4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自动对账：须自动联动财务账务、业务支付、银行流水三方数据，精准匹配并筛查差异，替代财务系统、网银双重录入模式。 </w:t>
      </w:r>
    </w:p>
    <w:p w14:paraId="22F8D23B">
      <w:pPr>
        <w:keepNext/>
        <w:numPr>
          <w:ilvl w:val="0"/>
          <w:numId w:val="3"/>
        </w:numPr>
        <w:snapToGrid w:val="0"/>
        <w:spacing w:line="360" w:lineRule="auto"/>
        <w:ind w:left="425" w:leftChars="0" w:right="0" w:rightChars="0" w:hanging="425" w:firstLineChars="0"/>
        <w:jc w:val="left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 xml:space="preserve">数据中心与智能提醒模块 </w:t>
      </w:r>
    </w:p>
    <w:p w14:paraId="579F0CC7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数据汇聚：须搭建专属主题数据库，全域汇聚总务、财务、药剂相关业务数据，完成清洗、去重、标准化治理，构建统一数据底座。 </w:t>
      </w:r>
    </w:p>
    <w:p w14:paraId="414BDAA7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节点采集：须全自动抓取各类业务审批全链路数据，覆盖岗位角色、经办人、节点发起/办结时间、单节点耗时、流转路径等指标，实现全记录、全溯源。 </w:t>
      </w:r>
    </w:p>
    <w:p w14:paraId="21F5573B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时效分析：须对审批流程进行数据分析，多维度量化统计单节点耗时、环节流转耗时、整体办结耗时，支持可视化呈现与趋势分析。 </w:t>
      </w:r>
    </w:p>
    <w:p w14:paraId="67787F71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智能预警：支持配置提醒规则（超时、停滞、滞后等），联动院内平台（OA等）精准推送至经办人及管理人员。 </w:t>
      </w:r>
    </w:p>
    <w:p w14:paraId="7E69D842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效率优化：须依托数据溯源、时效分析、智能预警，统一规范审批流转标准，压缩办理时长。 </w:t>
      </w:r>
    </w:p>
    <w:p w14:paraId="40EB0CCB">
      <w:pPr>
        <w:keepNext/>
        <w:numPr>
          <w:ilvl w:val="0"/>
          <w:numId w:val="3"/>
        </w:numPr>
        <w:snapToGrid w:val="0"/>
        <w:spacing w:line="360" w:lineRule="auto"/>
        <w:ind w:left="425" w:leftChars="0" w:right="0" w:rightChars="0" w:hanging="425" w:firstLineChars="0"/>
        <w:jc w:val="left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互联互通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 xml:space="preserve"> </w:t>
      </w:r>
    </w:p>
    <w:p w14:paraId="3043D1DB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菜单导航：须集成多业务模块菜单，支持统一导航、快速跳转、页面滚动联动，避免频繁切换系统。 </w:t>
      </w:r>
    </w:p>
    <w:p w14:paraId="3C4B6311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接口配置：须支持可视化配置各对接系统接口信息，可灵活新增、修改、停用，适配后期拓展。 </w:t>
      </w:r>
    </w:p>
    <w:p w14:paraId="4210C1E0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日志运维：须全程记录跨系统接口调用数据，生成包含调用时间、模块、交互数据、响应状态、异常信息的日志，支持查询、筛选、导出、异常溯源。 </w:t>
      </w:r>
    </w:p>
    <w:p w14:paraId="624573CE">
      <w:pPr>
        <w:keepNext/>
        <w:numPr>
          <w:ilvl w:val="0"/>
          <w:numId w:val="3"/>
        </w:numPr>
        <w:snapToGrid w:val="0"/>
        <w:spacing w:line="360" w:lineRule="auto"/>
        <w:ind w:left="425" w:leftChars="0" w:right="0" w:rightChars="0" w:hanging="425" w:firstLineChars="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接口</w:t>
      </w:r>
    </w:p>
    <w:p w14:paraId="09DC3BE8">
      <w:pPr>
        <w:pStyle w:val="1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 系统需与院内系统互联互通，同时支持对接院外各系统以获取数据。</w:t>
      </w:r>
    </w:p>
    <w:p w14:paraId="3A707E2A">
      <w:pPr>
        <w:spacing w:line="360" w:lineRule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 xml:space="preserve"> 对内接口（院内系统）</w:t>
      </w:r>
    </w:p>
    <w:tbl>
      <w:tblPr>
        <w:tblStyle w:val="14"/>
        <w:tblW w:w="83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663"/>
        <w:gridCol w:w="1373"/>
        <w:gridCol w:w="2822"/>
        <w:gridCol w:w="1811"/>
      </w:tblGrid>
      <w:tr w14:paraId="25615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00" w:type="dxa"/>
            <w:vAlign w:val="center"/>
          </w:tcPr>
          <w:p w14:paraId="253DB312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序号</w:t>
            </w:r>
          </w:p>
        </w:tc>
        <w:tc>
          <w:tcPr>
            <w:tcW w:w="1663" w:type="dxa"/>
            <w:vAlign w:val="center"/>
          </w:tcPr>
          <w:p w14:paraId="5BE3A1A3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对接系统</w:t>
            </w:r>
          </w:p>
        </w:tc>
        <w:tc>
          <w:tcPr>
            <w:tcW w:w="1373" w:type="dxa"/>
            <w:vAlign w:val="center"/>
          </w:tcPr>
          <w:p w14:paraId="1567F4B8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接口类型</w:t>
            </w:r>
          </w:p>
        </w:tc>
        <w:tc>
          <w:tcPr>
            <w:tcW w:w="2822" w:type="dxa"/>
            <w:vAlign w:val="center"/>
          </w:tcPr>
          <w:p w14:paraId="5B930EBC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交互内容</w:t>
            </w:r>
          </w:p>
        </w:tc>
        <w:tc>
          <w:tcPr>
            <w:tcW w:w="1811" w:type="dxa"/>
            <w:vAlign w:val="center"/>
          </w:tcPr>
          <w:p w14:paraId="525CC5A1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技术参数要求</w:t>
            </w:r>
          </w:p>
        </w:tc>
      </w:tr>
      <w:tr w14:paraId="0B852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0" w:type="dxa"/>
            <w:vAlign w:val="center"/>
          </w:tcPr>
          <w:p w14:paraId="697919E9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</w:tc>
        <w:tc>
          <w:tcPr>
            <w:tcW w:w="1663" w:type="dxa"/>
            <w:vAlign w:val="center"/>
          </w:tcPr>
          <w:p w14:paraId="68C7059F">
            <w:pPr>
              <w:snapToGrid w:val="0"/>
              <w:spacing w:line="36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预算系统 </w:t>
            </w:r>
          </w:p>
        </w:tc>
        <w:tc>
          <w:tcPr>
            <w:tcW w:w="1373" w:type="dxa"/>
            <w:vAlign w:val="center"/>
          </w:tcPr>
          <w:p w14:paraId="4C7286ED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业务调用接口 </w:t>
            </w:r>
          </w:p>
        </w:tc>
        <w:tc>
          <w:tcPr>
            <w:tcW w:w="2822" w:type="dxa"/>
            <w:vAlign w:val="center"/>
          </w:tcPr>
          <w:p w14:paraId="1930D1DF">
            <w:pPr>
              <w:snapToGrid w:val="0"/>
              <w:spacing w:line="36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校验付款申请预算额度 </w:t>
            </w:r>
          </w:p>
        </w:tc>
        <w:tc>
          <w:tcPr>
            <w:tcW w:w="1811" w:type="dxa"/>
            <w:vAlign w:val="center"/>
          </w:tcPr>
          <w:p w14:paraId="1BF061B9">
            <w:pPr>
              <w:snapToGrid w:val="0"/>
              <w:spacing w:line="36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须支持实时校验并返回结果 </w:t>
            </w:r>
          </w:p>
        </w:tc>
      </w:tr>
      <w:tr w14:paraId="71323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0" w:type="dxa"/>
            <w:vAlign w:val="center"/>
          </w:tcPr>
          <w:p w14:paraId="6243BBD0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</w:tc>
        <w:tc>
          <w:tcPr>
            <w:tcW w:w="1663" w:type="dxa"/>
            <w:vAlign w:val="center"/>
          </w:tcPr>
          <w:p w14:paraId="1DAEB403">
            <w:pPr>
              <w:snapToGrid w:val="0"/>
              <w:spacing w:line="36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报账/报销系统 </w:t>
            </w:r>
          </w:p>
        </w:tc>
        <w:tc>
          <w:tcPr>
            <w:tcW w:w="1373" w:type="dxa"/>
            <w:vAlign w:val="center"/>
          </w:tcPr>
          <w:p w14:paraId="609BDBFA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数据互通接口 </w:t>
            </w:r>
          </w:p>
        </w:tc>
        <w:tc>
          <w:tcPr>
            <w:tcW w:w="2822" w:type="dxa"/>
            <w:vAlign w:val="center"/>
          </w:tcPr>
          <w:p w14:paraId="6D078EB6">
            <w:pPr>
              <w:snapToGrid w:val="0"/>
              <w:spacing w:line="36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同步票据、付款申请数据 </w:t>
            </w:r>
          </w:p>
        </w:tc>
        <w:tc>
          <w:tcPr>
            <w:tcW w:w="1811" w:type="dxa"/>
            <w:vAlign w:val="center"/>
          </w:tcPr>
          <w:p w14:paraId="34AD4DCE">
            <w:pPr>
              <w:snapToGrid w:val="0"/>
              <w:spacing w:line="36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须支持数据双向同步 </w:t>
            </w:r>
          </w:p>
        </w:tc>
      </w:tr>
    </w:tbl>
    <w:p w14:paraId="044DE039">
      <w:pPr>
        <w:spacing w:line="360" w:lineRule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对外接口（外部平台）</w:t>
      </w:r>
    </w:p>
    <w:tbl>
      <w:tblPr>
        <w:tblStyle w:val="14"/>
        <w:tblW w:w="88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1384"/>
        <w:gridCol w:w="1943"/>
        <w:gridCol w:w="1865"/>
        <w:gridCol w:w="2347"/>
      </w:tblGrid>
      <w:tr w14:paraId="6FEFE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57" w:type="dxa"/>
            <w:vAlign w:val="center"/>
          </w:tcPr>
          <w:p w14:paraId="3AA7F21C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序号</w:t>
            </w:r>
          </w:p>
        </w:tc>
        <w:tc>
          <w:tcPr>
            <w:tcW w:w="1384" w:type="dxa"/>
            <w:vAlign w:val="center"/>
          </w:tcPr>
          <w:p w14:paraId="2A78D18E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对接平台</w:t>
            </w:r>
          </w:p>
        </w:tc>
        <w:tc>
          <w:tcPr>
            <w:tcW w:w="1943" w:type="dxa"/>
            <w:vAlign w:val="center"/>
          </w:tcPr>
          <w:p w14:paraId="532ED71D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接口类型</w:t>
            </w:r>
          </w:p>
        </w:tc>
        <w:tc>
          <w:tcPr>
            <w:tcW w:w="1865" w:type="dxa"/>
            <w:vAlign w:val="center"/>
          </w:tcPr>
          <w:p w14:paraId="3BFB0E16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交互内容</w:t>
            </w:r>
          </w:p>
        </w:tc>
        <w:tc>
          <w:tcPr>
            <w:tcW w:w="2347" w:type="dxa"/>
            <w:vAlign w:val="center"/>
          </w:tcPr>
          <w:p w14:paraId="7D089B0C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技术参数要求</w:t>
            </w:r>
          </w:p>
        </w:tc>
      </w:tr>
      <w:tr w14:paraId="10685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57" w:type="dxa"/>
            <w:vAlign w:val="center"/>
          </w:tcPr>
          <w:p w14:paraId="0ECA189B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</w:tc>
        <w:tc>
          <w:tcPr>
            <w:tcW w:w="1384" w:type="dxa"/>
            <w:vAlign w:val="center"/>
          </w:tcPr>
          <w:p w14:paraId="22336C34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国税查验平台 </w:t>
            </w:r>
          </w:p>
        </w:tc>
        <w:tc>
          <w:tcPr>
            <w:tcW w:w="1943" w:type="dxa"/>
            <w:vAlign w:val="center"/>
          </w:tcPr>
          <w:p w14:paraId="378D58CA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查验请求接口 </w:t>
            </w:r>
          </w:p>
        </w:tc>
        <w:tc>
          <w:tcPr>
            <w:tcW w:w="1865" w:type="dxa"/>
            <w:vAlign w:val="center"/>
          </w:tcPr>
          <w:p w14:paraId="7FF30550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发票真伪、唯一性校验 </w:t>
            </w:r>
          </w:p>
        </w:tc>
        <w:tc>
          <w:tcPr>
            <w:tcW w:w="2347" w:type="dxa"/>
            <w:vAlign w:val="center"/>
          </w:tcPr>
          <w:p w14:paraId="59CF7C5E">
            <w:pPr>
              <w:snapToGrid w:val="0"/>
              <w:spacing w:line="36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须对接官方接口，支持批量查验 </w:t>
            </w:r>
          </w:p>
        </w:tc>
      </w:tr>
    </w:tbl>
    <w:p w14:paraId="7C7BC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</w:p>
    <w:p w14:paraId="57F78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付款方式：</w:t>
      </w:r>
    </w:p>
    <w:p w14:paraId="145D4C2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="359" w:leftChars="0" w:hanging="359" w:hangingChars="171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1期：支付比例30%,合同签订生效，且采购人收到中标供应商开具符合国家财务规定的等额发票后的60日内，采购人将合同总金额的30%作为预付款支付给中标供应商；</w:t>
      </w:r>
    </w:p>
    <w:p w14:paraId="7EECD93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="359" w:leftChars="0" w:hanging="359" w:hangingChars="171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2期：支付比例60%,系统完工整体验收合格，且采购人收到中标供应商开具符合国家财务规定的等额发票后的60日内，采购人将合同总金额的60%支付给中标供应商；</w:t>
      </w:r>
    </w:p>
    <w:p w14:paraId="402AC45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="359" w:leftChars="0" w:hanging="359" w:hangingChars="171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3期：支付比例10%,系统完工整体验收合格且正常运行1年后，且采购人收到中标供应商开具符合国家财务规定的等额发票后的60日内，采购人将余下款项合同总金额的10%支付给中标供应商。</w:t>
      </w:r>
    </w:p>
    <w:p w14:paraId="2F83B03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320" w:lineRule="exact"/>
        <w:ind w:left="359" w:leftChars="0" w:hanging="359" w:hangingChars="171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★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售后服务：</w:t>
      </w:r>
    </w:p>
    <w:p w14:paraId="73CF80C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320" w:lineRule="exact"/>
        <w:ind w:left="17" w:leftChars="7" w:firstLine="462" w:firstLineChars="22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为确保售后服务质量，本项目软件维保期为自系统最终验收合格之日起不少于</w:t>
      </w: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年,自双方代表在项目终验报告上签字之日起计算，维保期服务包含但不限于软件版本升级、功能更新及优化、原有接口、新增接口、及系统个性化改造以及维护服务、相关运维保障服务所有费用均包含在本次项目费用中，采购人无需另行支付人工费、服务费、培训费等任何费用。 (2) 中标供应商在维保期内应当为采购人提供以下技术支持和服务：电话咨询：中标供应商应当为采购人提供技术援助电话，解答采购人在使用中遇到的问题，及时为采购人提出解决问题的建议。现场响应：维保期内提供7*24小时的运维保障服务。采购人遇到使用及技术问题，现场人员(如果有)或电话咨询不能解决的，中标供应商应在30分钟内响应需求，120分钟内派工程师到达现场进行处理，到现场后60分钟内确保产品正常工作。技术升级：在维保期内，如果中标供应商的产品技术升级，中标供应商应及时通知采购人，如采购人有相应要求，中标供应商应对采购人购买的产品进行升级服务。</w:t>
      </w:r>
    </w:p>
    <w:p w14:paraId="36026B9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320" w:lineRule="exact"/>
        <w:ind w:left="359" w:leftChars="0" w:hanging="359" w:hangingChars="171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★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报价要求：</w:t>
      </w:r>
    </w:p>
    <w:p w14:paraId="5CDB08E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320" w:lineRule="exact"/>
        <w:ind w:left="17" w:leftChars="7" w:firstLine="462" w:firstLineChars="220"/>
        <w:textAlignment w:val="auto"/>
        <w:rPr>
          <w:rFonts w:hint="eastAsia" w:ascii="宋体" w:hAnsi="宋体" w:eastAsia="宋体" w:cs="宋体"/>
          <w:sz w:val="21"/>
          <w:szCs w:val="21"/>
        </w:rPr>
      </w:pP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</w:rPr>
        <w:t>本项目实施过程中中标供应商与采购人HIS系统、医院其他系统的开发对接产生的开发费用、接口费用、所有设备施工安装调试费用或其他费用由中标供应商承担,采购人不再支付；投标人必须承诺投标报价应为人民币含税全包价，包括所投产品的设计、开发、测试、运输、安装调试、第三方接口开发调试、对接、验收、培训、后期国产化服务器平台迁移、不少于三年维保期内软件系统升级和个性化改造、售后服务及相关服务等一切费用。所投产品开发过程中若涉及第三方的知识产权，其使用过程所产生的一切费用应包含在本次投标报价内。本项目覆盖采购人总院区、新院区应用，满足多院区工作模式，软硬件为本地化部署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CD2C99"/>
    <w:multiLevelType w:val="singleLevel"/>
    <w:tmpl w:val="E3CD2C99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08CF0D3D"/>
    <w:multiLevelType w:val="singleLevel"/>
    <w:tmpl w:val="08CF0D3D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4A2295C3"/>
    <w:multiLevelType w:val="multilevel"/>
    <w:tmpl w:val="4A2295C3"/>
    <w:lvl w:ilvl="0" w:tentative="0">
      <w:start w:val="1"/>
      <w:numFmt w:val="chineseCounting"/>
      <w:pStyle w:val="2"/>
      <w:suff w:val="nothing"/>
      <w:lvlText w:val="第%1章 "/>
      <w:lvlJc w:val="left"/>
      <w:pPr>
        <w:ind w:left="716" w:hanging="432"/>
      </w:pPr>
      <w:rPr>
        <w:rFonts w:hint="eastAsia"/>
      </w:rPr>
    </w:lvl>
    <w:lvl w:ilvl="1" w:tentative="0">
      <w:start w:val="1"/>
      <w:numFmt w:val="decimal"/>
      <w:pStyle w:val="3"/>
      <w:isLgl/>
      <w:lvlText w:val="%1.%2 "/>
      <w:lvlJc w:val="left"/>
      <w:pPr>
        <w:ind w:left="575" w:hanging="575"/>
      </w:pPr>
      <w:rPr>
        <w:rFonts w:hint="eastAsia" w:ascii="黑体" w:hAnsi="黑体" w:eastAsia="黑体" w:cs="宋体"/>
      </w:rPr>
    </w:lvl>
    <w:lvl w:ilvl="2" w:tentative="0">
      <w:start w:val="1"/>
      <w:numFmt w:val="decimal"/>
      <w:pStyle w:val="4"/>
      <w:isLgl/>
      <w:lvlText w:val="%1.%2.%3 "/>
      <w:lvlJc w:val="left"/>
      <w:pPr>
        <w:ind w:left="360" w:hanging="720"/>
      </w:pPr>
      <w:rPr>
        <w:rFonts w:hint="eastAsia" w:ascii="黑体" w:hAnsi="黑体" w:eastAsia="黑体" w:cs="宋体"/>
      </w:rPr>
    </w:lvl>
    <w:lvl w:ilvl="3" w:tentative="0">
      <w:start w:val="1"/>
      <w:numFmt w:val="decimal"/>
      <w:pStyle w:val="5"/>
      <w:isLgl/>
      <w:lvlText w:val="%1.%2.%3.%4 "/>
      <w:lvlJc w:val="left"/>
      <w:pPr>
        <w:ind w:left="864" w:hanging="864"/>
      </w:pPr>
      <w:rPr>
        <w:rFonts w:hint="eastAsia" w:ascii="黑体" w:hAnsi="黑体" w:eastAsia="黑体" w:cs="宋体"/>
      </w:rPr>
    </w:lvl>
    <w:lvl w:ilvl="4" w:tentative="0">
      <w:start w:val="1"/>
      <w:numFmt w:val="decimal"/>
      <w:pStyle w:val="6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8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171308"/>
    <w:rsid w:val="05812B41"/>
    <w:rsid w:val="06AA63FB"/>
    <w:rsid w:val="0B171308"/>
    <w:rsid w:val="0CDA7707"/>
    <w:rsid w:val="215D225D"/>
    <w:rsid w:val="2236180E"/>
    <w:rsid w:val="244359D6"/>
    <w:rsid w:val="25702511"/>
    <w:rsid w:val="28E256DD"/>
    <w:rsid w:val="2C4402A1"/>
    <w:rsid w:val="2D8E3C58"/>
    <w:rsid w:val="2DAC4350"/>
    <w:rsid w:val="31B55F76"/>
    <w:rsid w:val="34C74D5B"/>
    <w:rsid w:val="37074CED"/>
    <w:rsid w:val="39E11825"/>
    <w:rsid w:val="3F00274D"/>
    <w:rsid w:val="4CD34FFD"/>
    <w:rsid w:val="56CE1E8C"/>
    <w:rsid w:val="5CA22C3E"/>
    <w:rsid w:val="5E1D07CE"/>
    <w:rsid w:val="6ACD3676"/>
    <w:rsid w:val="71551BD5"/>
    <w:rsid w:val="75361292"/>
    <w:rsid w:val="76C75323"/>
    <w:rsid w:val="79051592"/>
    <w:rsid w:val="7B69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left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ind w:left="716" w:hanging="432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line="400" w:lineRule="exact"/>
      <w:ind w:left="0" w:firstLine="0" w:firstLineChars="0"/>
      <w:outlineLvl w:val="1"/>
    </w:pPr>
    <w:rPr>
      <w:rFonts w:ascii="宋体" w:hAnsi="宋体" w:eastAsia="黑体" w:cs="宋体"/>
      <w:color w:val="000000" w:themeColor="text1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semiHidden/>
    <w:unhideWhenUsed/>
    <w:qFormat/>
    <w:uiPriority w:val="0"/>
    <w:pPr>
      <w:numPr>
        <w:ilvl w:val="2"/>
        <w:numId w:val="1"/>
      </w:numPr>
      <w:ind w:left="360" w:hanging="720" w:firstLineChars="0"/>
      <w:outlineLvl w:val="2"/>
    </w:pPr>
    <w:rPr>
      <w:rFonts w:ascii="宋体" w:hAnsi="宋体" w:eastAsia="黑体" w:cs="宋体"/>
      <w:color w:val="000000" w:themeColor="text1"/>
      <w14:textFill>
        <w14:solidFill>
          <w14:schemeClr w14:val="tx1"/>
        </w14:solidFill>
      </w14:textFill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pPr>
      <w:spacing w:after="120" w:afterLines="0" w:afterAutospacing="0"/>
    </w:pPr>
  </w:style>
  <w:style w:type="paragraph" w:styleId="12">
    <w:name w:val="Normal (Web)"/>
    <w:basedOn w:val="1"/>
    <w:qFormat/>
    <w:uiPriority w:val="0"/>
    <w:rPr>
      <w:sz w:val="24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qFormat/>
    <w:uiPriority w:val="0"/>
    <w:rPr>
      <w:color w:val="0563C1"/>
      <w:u w:val="single"/>
    </w:rPr>
  </w:style>
  <w:style w:type="paragraph" w:customStyle="1" w:styleId="18">
    <w:name w:val="null3"/>
    <w:qFormat/>
    <w:uiPriority w:val="0"/>
    <w:rPr>
      <w:rFonts w:hint="eastAsia" w:ascii="Calibri" w:hAnsi="Calibri" w:eastAsia="宋体" w:cs="宋体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4189</Words>
  <Characters>4302</Characters>
  <Lines>0</Lines>
  <Paragraphs>0</Paragraphs>
  <TotalTime>0</TotalTime>
  <ScaleCrop>false</ScaleCrop>
  <LinksUpToDate>false</LinksUpToDate>
  <CharactersWithSpaces>4363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2026-10-19T09:36:00Z</dcterms:created>
  <dc:creator>桃呆</dc:creator>
  <cp:lastModifiedBy>WPS_1666697298</cp:lastModifiedBy>
  <dcterms:modified xsi:type="dcterms:W3CDTF">2026-10-22T13:38:22Z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ICV">
    <vt:lpwstr>18C7B8C7BAA34D1EA44642B95AB0966C_13</vt:lpwstr>
  </property>
  <property fmtid="{D5CDD505-2E9C-101B-9397-08002B2CF9AE}" pid="4" name="KSOTemplateDocerSaveRecord">
    <vt:lpwstr>eyJoZGlkIjoiYWJiYzc3YzM3Y2ExYjc3MGFjMWU2NWE1OWRjMDcxYjIiLCJ1c2VySWQiOiIxNDMzNDE5NTU0In0=</vt:lpwstr>
  </property>
</Properties>
</file>